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856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6" w:space="0" w:color="ADADAD" w:themeColor="background2" w:themeShade="BF"/>
          <w:insideV w:val="single" w:sz="6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3"/>
        <w:gridCol w:w="444"/>
        <w:gridCol w:w="100"/>
        <w:gridCol w:w="135"/>
        <w:gridCol w:w="327"/>
        <w:gridCol w:w="856"/>
        <w:gridCol w:w="111"/>
        <w:gridCol w:w="90"/>
        <w:gridCol w:w="270"/>
        <w:gridCol w:w="521"/>
        <w:gridCol w:w="728"/>
        <w:gridCol w:w="244"/>
        <w:gridCol w:w="161"/>
        <w:gridCol w:w="14"/>
        <w:gridCol w:w="271"/>
        <w:gridCol w:w="795"/>
        <w:gridCol w:w="34"/>
        <w:gridCol w:w="144"/>
        <w:gridCol w:w="396"/>
        <w:gridCol w:w="755"/>
        <w:gridCol w:w="93"/>
        <w:gridCol w:w="131"/>
        <w:gridCol w:w="675"/>
        <w:gridCol w:w="68"/>
        <w:gridCol w:w="370"/>
        <w:gridCol w:w="406"/>
        <w:gridCol w:w="243"/>
        <w:gridCol w:w="1276"/>
      </w:tblGrid>
      <w:tr w:rsidR="005233E0" w:rsidRPr="0097513E" w14:paraId="65280C29" w14:textId="77777777" w:rsidTr="004D79B4">
        <w:trPr>
          <w:trHeight w:val="557"/>
        </w:trPr>
        <w:tc>
          <w:tcPr>
            <w:tcW w:w="1418" w:type="dxa"/>
            <w:gridSpan w:val="3"/>
            <w:tcBorders>
              <w:top w:val="single" w:sz="4" w:space="0" w:color="ADADAD" w:themeColor="background2" w:themeShade="BF"/>
            </w:tcBorders>
            <w:shd w:val="clear" w:color="auto" w:fill="153D63" w:themeFill="text2" w:themeFillTint="E6"/>
          </w:tcPr>
          <w:p w14:paraId="059AA37A" w14:textId="5780A52E" w:rsidR="005233E0" w:rsidRPr="009022DC" w:rsidRDefault="003F1FA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5233E0" w:rsidRPr="009022DC">
              <w:rPr>
                <w:rFonts w:ascii="Arial" w:hAnsi="Arial" w:cs="Arial"/>
                <w:b/>
                <w:bCs/>
              </w:rPr>
              <w:t>.21-1</w:t>
            </w:r>
            <w:r w:rsidR="005233E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214" w:type="dxa"/>
            <w:gridSpan w:val="26"/>
            <w:tcBorders>
              <w:top w:val="single" w:sz="4" w:space="0" w:color="ADADAD" w:themeColor="background2" w:themeShade="BF"/>
            </w:tcBorders>
            <w:shd w:val="clear" w:color="auto" w:fill="153D63" w:themeFill="text2" w:themeFillTint="E6"/>
          </w:tcPr>
          <w:p w14:paraId="3E949515" w14:textId="13D89B08" w:rsidR="005233E0" w:rsidRPr="0097513E" w:rsidRDefault="005233E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D7D6C">
              <w:rPr>
                <w:rFonts w:ascii="Arial" w:hAnsi="Arial" w:cs="Arial"/>
                <w:b/>
                <w:bCs/>
                <w:sz w:val="30"/>
                <w:szCs w:val="30"/>
              </w:rPr>
              <w:t>Riverfront Regeneration Project Highlight Report</w:t>
            </w:r>
          </w:p>
        </w:tc>
      </w:tr>
      <w:tr w:rsidR="00E41AC3" w:rsidRPr="0097513E" w14:paraId="61E31BAB" w14:textId="77777777" w:rsidTr="00B40957">
        <w:trPr>
          <w:trHeight w:val="741"/>
        </w:trPr>
        <w:tc>
          <w:tcPr>
            <w:tcW w:w="1418" w:type="dxa"/>
            <w:gridSpan w:val="3"/>
          </w:tcPr>
          <w:p w14:paraId="20B2E71A" w14:textId="111EBA2C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Name:</w:t>
            </w:r>
          </w:p>
        </w:tc>
        <w:tc>
          <w:tcPr>
            <w:tcW w:w="1418" w:type="dxa"/>
            <w:gridSpan w:val="4"/>
          </w:tcPr>
          <w:p w14:paraId="4C677050" w14:textId="1BD144AE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2177E">
              <w:rPr>
                <w:rFonts w:ascii="Arial" w:hAnsi="Arial" w:cs="Arial"/>
                <w:sz w:val="18"/>
                <w:szCs w:val="18"/>
              </w:rPr>
              <w:t>Riverfront Regeneration</w:t>
            </w:r>
          </w:p>
        </w:tc>
        <w:tc>
          <w:tcPr>
            <w:tcW w:w="992" w:type="dxa"/>
            <w:gridSpan w:val="4"/>
          </w:tcPr>
          <w:p w14:paraId="52BAEF97" w14:textId="1DCFEAF3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Manager</w:t>
            </w:r>
          </w:p>
        </w:tc>
        <w:tc>
          <w:tcPr>
            <w:tcW w:w="1147" w:type="dxa"/>
            <w:gridSpan w:val="4"/>
          </w:tcPr>
          <w:p w14:paraId="68866239" w14:textId="4FD91F2D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452E2">
              <w:rPr>
                <w:rFonts w:ascii="Arial" w:hAnsi="Arial" w:cs="Arial"/>
                <w:sz w:val="18"/>
                <w:szCs w:val="18"/>
              </w:rPr>
              <w:t>Abigail Rawlings/ Pulse</w:t>
            </w:r>
          </w:p>
        </w:tc>
        <w:tc>
          <w:tcPr>
            <w:tcW w:w="1244" w:type="dxa"/>
            <w:gridSpan w:val="4"/>
          </w:tcPr>
          <w:p w14:paraId="067313E8" w14:textId="214B99F8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Sponsor:</w:t>
            </w:r>
          </w:p>
        </w:tc>
        <w:tc>
          <w:tcPr>
            <w:tcW w:w="1244" w:type="dxa"/>
            <w:gridSpan w:val="3"/>
          </w:tcPr>
          <w:p w14:paraId="713B3A82" w14:textId="77777777" w:rsidR="00E41AC3" w:rsidRPr="005D4283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D4283">
              <w:rPr>
                <w:rFonts w:ascii="Arial" w:hAnsi="Arial" w:cs="Arial"/>
                <w:sz w:val="18"/>
                <w:szCs w:val="18"/>
              </w:rPr>
              <w:t>Duncan</w:t>
            </w:r>
          </w:p>
          <w:p w14:paraId="374C8AB9" w14:textId="0840730F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Hall</w:t>
            </w:r>
          </w:p>
        </w:tc>
        <w:tc>
          <w:tcPr>
            <w:tcW w:w="1244" w:type="dxa"/>
            <w:gridSpan w:val="4"/>
          </w:tcPr>
          <w:p w14:paraId="7A45F311" w14:textId="6248F63C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Report covers period of:</w:t>
            </w:r>
          </w:p>
        </w:tc>
        <w:tc>
          <w:tcPr>
            <w:tcW w:w="1925" w:type="dxa"/>
            <w:gridSpan w:val="3"/>
          </w:tcPr>
          <w:p w14:paraId="0E72B6FF" w14:textId="0FB1B69D" w:rsidR="00E41AC3" w:rsidRPr="0097513E" w:rsidRDefault="005C5ACC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="006F0508" w:rsidRPr="6F1C8A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AC3" w:rsidRPr="6F1C8AD0">
              <w:rPr>
                <w:rFonts w:ascii="Arial" w:hAnsi="Arial" w:cs="Arial"/>
                <w:sz w:val="18"/>
                <w:szCs w:val="18"/>
              </w:rPr>
              <w:t>202</w:t>
            </w:r>
            <w:r w:rsidR="00DA3D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41AC3" w:rsidRPr="0097513E" w14:paraId="6F0D2CAE" w14:textId="77777777" w:rsidTr="00FF7A71">
        <w:trPr>
          <w:trHeight w:val="514"/>
        </w:trPr>
        <w:tc>
          <w:tcPr>
            <w:tcW w:w="1653" w:type="dxa"/>
            <w:gridSpan w:val="5"/>
            <w:vMerge w:val="restart"/>
          </w:tcPr>
          <w:p w14:paraId="12BFC238" w14:textId="75950ED3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Capital Code:</w:t>
            </w:r>
          </w:p>
        </w:tc>
        <w:tc>
          <w:tcPr>
            <w:tcW w:w="1654" w:type="dxa"/>
            <w:gridSpan w:val="5"/>
            <w:vMerge w:val="restart"/>
          </w:tcPr>
          <w:p w14:paraId="60A95074" w14:textId="62742245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7272D">
              <w:rPr>
                <w:rFonts w:ascii="Arial" w:hAnsi="Arial" w:cs="Arial"/>
                <w:sz w:val="18"/>
                <w:szCs w:val="18"/>
              </w:rPr>
              <w:t>C9066</w:t>
            </w:r>
          </w:p>
        </w:tc>
        <w:tc>
          <w:tcPr>
            <w:tcW w:w="1654" w:type="dxa"/>
            <w:gridSpan w:val="4"/>
            <w:vMerge w:val="restart"/>
          </w:tcPr>
          <w:p w14:paraId="0BDB6ACE" w14:textId="47C0CCA3" w:rsidR="00E41AC3" w:rsidRPr="009C1FB8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Client Dept:</w:t>
            </w:r>
          </w:p>
        </w:tc>
        <w:tc>
          <w:tcPr>
            <w:tcW w:w="1654" w:type="dxa"/>
            <w:gridSpan w:val="6"/>
            <w:vMerge w:val="restart"/>
          </w:tcPr>
          <w:p w14:paraId="3BC60008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Regeneration</w:t>
            </w:r>
          </w:p>
        </w:tc>
        <w:tc>
          <w:tcPr>
            <w:tcW w:w="1654" w:type="dxa"/>
            <w:gridSpan w:val="4"/>
          </w:tcPr>
          <w:p w14:paraId="3F00F09D" w14:textId="40AC0366" w:rsidR="00E41AC3" w:rsidRPr="009C1FB8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Lead Designer:</w:t>
            </w:r>
          </w:p>
        </w:tc>
        <w:tc>
          <w:tcPr>
            <w:tcW w:w="2363" w:type="dxa"/>
            <w:gridSpan w:val="5"/>
          </w:tcPr>
          <w:p w14:paraId="06A7D118" w14:textId="5E8E6265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4632">
              <w:rPr>
                <w:rFonts w:ascii="Arial" w:hAnsi="Arial" w:cs="Arial"/>
                <w:sz w:val="18"/>
                <w:szCs w:val="18"/>
              </w:rPr>
              <w:t>Another Kind Architects</w:t>
            </w:r>
          </w:p>
        </w:tc>
      </w:tr>
      <w:tr w:rsidR="00E41AC3" w:rsidRPr="0097513E" w14:paraId="5E94120D" w14:textId="77777777" w:rsidTr="00FF7A71">
        <w:trPr>
          <w:trHeight w:val="407"/>
        </w:trPr>
        <w:tc>
          <w:tcPr>
            <w:tcW w:w="1653" w:type="dxa"/>
            <w:gridSpan w:val="5"/>
            <w:vMerge/>
          </w:tcPr>
          <w:p w14:paraId="25A99FB4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gridSpan w:val="5"/>
            <w:vMerge/>
          </w:tcPr>
          <w:p w14:paraId="77607808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14:paraId="4AE9BB39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gridSpan w:val="6"/>
            <w:vMerge/>
          </w:tcPr>
          <w:p w14:paraId="03C05E57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tcBorders>
              <w:bottom w:val="single" w:sz="4" w:space="0" w:color="ADADAD" w:themeColor="background2" w:themeShade="BF"/>
            </w:tcBorders>
          </w:tcPr>
          <w:p w14:paraId="27BA3942" w14:textId="0103264C" w:rsidR="00E41AC3" w:rsidRPr="009C1FB8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Cost Consultant:</w:t>
            </w:r>
          </w:p>
        </w:tc>
        <w:tc>
          <w:tcPr>
            <w:tcW w:w="2363" w:type="dxa"/>
            <w:gridSpan w:val="5"/>
            <w:tcBorders>
              <w:bottom w:val="single" w:sz="4" w:space="0" w:color="ADADAD" w:themeColor="background2" w:themeShade="BF"/>
            </w:tcBorders>
          </w:tcPr>
          <w:p w14:paraId="05EFE0EA" w14:textId="499E1A40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C5FB0">
              <w:rPr>
                <w:rFonts w:ascii="Arial" w:hAnsi="Arial" w:cs="Arial"/>
                <w:sz w:val="18"/>
                <w:szCs w:val="18"/>
              </w:rPr>
              <w:t>Andrew Morton Associates</w:t>
            </w:r>
          </w:p>
        </w:tc>
      </w:tr>
      <w:tr w:rsidR="00E41AC3" w:rsidRPr="0097513E" w14:paraId="26BD09CA" w14:textId="77777777" w:rsidTr="00FF7A71">
        <w:trPr>
          <w:trHeight w:val="485"/>
        </w:trPr>
        <w:tc>
          <w:tcPr>
            <w:tcW w:w="1653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6" w:space="0" w:color="ADADAD" w:themeColor="background2" w:themeShade="BF"/>
            </w:tcBorders>
          </w:tcPr>
          <w:p w14:paraId="2CEF4FD9" w14:textId="26ACB1D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Code:</w:t>
            </w:r>
          </w:p>
        </w:tc>
        <w:tc>
          <w:tcPr>
            <w:tcW w:w="1654" w:type="dxa"/>
            <w:gridSpan w:val="5"/>
            <w:tcBorders>
              <w:top w:val="single" w:sz="4" w:space="0" w:color="ADADAD" w:themeColor="background2" w:themeShade="BF"/>
              <w:left w:val="single" w:sz="6" w:space="0" w:color="ADADAD" w:themeColor="background2" w:themeShade="BF"/>
              <w:bottom w:val="single" w:sz="4" w:space="0" w:color="ADADAD" w:themeColor="background2" w:themeShade="BF"/>
              <w:right w:val="single" w:sz="6" w:space="0" w:color="ADADAD" w:themeColor="background2" w:themeShade="BF"/>
            </w:tcBorders>
          </w:tcPr>
          <w:p w14:paraId="6777FA6E" w14:textId="4F51D1EE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P.21-1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54" w:type="dxa"/>
            <w:gridSpan w:val="4"/>
            <w:tcBorders>
              <w:top w:val="single" w:sz="4" w:space="0" w:color="ADADAD" w:themeColor="background2" w:themeShade="BF"/>
              <w:left w:val="single" w:sz="6" w:space="0" w:color="ADADAD" w:themeColor="background2" w:themeShade="BF"/>
              <w:bottom w:val="single" w:sz="4" w:space="0" w:color="ADADAD" w:themeColor="background2" w:themeShade="BF"/>
              <w:right w:val="single" w:sz="6" w:space="0" w:color="ADADAD" w:themeColor="background2" w:themeShade="BF"/>
            </w:tcBorders>
          </w:tcPr>
          <w:p w14:paraId="23AF4B89" w14:textId="1E94D64D" w:rsidR="00E41AC3" w:rsidRPr="009C1FB8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End User (if applicable</w:t>
            </w:r>
            <w:r w:rsidR="00E6176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54" w:type="dxa"/>
            <w:gridSpan w:val="6"/>
            <w:tcBorders>
              <w:top w:val="single" w:sz="4" w:space="0" w:color="ADADAD" w:themeColor="background2" w:themeShade="BF"/>
              <w:left w:val="single" w:sz="6" w:space="0" w:color="ADADAD" w:themeColor="background2" w:themeShade="BF"/>
              <w:bottom w:val="single" w:sz="4" w:space="0" w:color="ADADAD" w:themeColor="background2" w:themeShade="BF"/>
              <w:right w:val="single" w:sz="6" w:space="0" w:color="ADADAD" w:themeColor="background2" w:themeShade="BF"/>
            </w:tcBorders>
          </w:tcPr>
          <w:p w14:paraId="03BE3E2C" w14:textId="19C7BBBB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654" w:type="dxa"/>
            <w:gridSpan w:val="4"/>
            <w:tcBorders>
              <w:top w:val="single" w:sz="4" w:space="0" w:color="ADADAD" w:themeColor="background2" w:themeShade="BF"/>
              <w:left w:val="single" w:sz="6" w:space="0" w:color="ADADAD" w:themeColor="background2" w:themeShade="BF"/>
              <w:bottom w:val="single" w:sz="4" w:space="0" w:color="ADADAD" w:themeColor="background2" w:themeShade="BF"/>
              <w:right w:val="single" w:sz="6" w:space="0" w:color="ADADAD" w:themeColor="background2" w:themeShade="BF"/>
            </w:tcBorders>
          </w:tcPr>
          <w:p w14:paraId="0F97AB93" w14:textId="191C15BD" w:rsidR="00E41AC3" w:rsidRPr="009C1FB8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Contractor on Site:</w:t>
            </w:r>
          </w:p>
        </w:tc>
        <w:tc>
          <w:tcPr>
            <w:tcW w:w="2363" w:type="dxa"/>
            <w:gridSpan w:val="5"/>
            <w:tcBorders>
              <w:top w:val="single" w:sz="4" w:space="0" w:color="ADADAD" w:themeColor="background2" w:themeShade="BF"/>
              <w:left w:val="single" w:sz="6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B8EF796" w14:textId="1A7D01FD" w:rsidR="00E41AC3" w:rsidRPr="0097513E" w:rsidRDefault="75D48378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sz w:val="18"/>
                <w:szCs w:val="18"/>
              </w:rPr>
              <w:t>Dryside- E.N Suiters &amp;Sons LTD</w:t>
            </w:r>
          </w:p>
        </w:tc>
      </w:tr>
      <w:tr w:rsidR="00E41AC3" w:rsidRPr="0097513E" w14:paraId="2EBE4BD9" w14:textId="77777777" w:rsidTr="003F1FAB">
        <w:tc>
          <w:tcPr>
            <w:tcW w:w="1418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D9D9D9" w:themeColor="background1" w:themeShade="D9"/>
              <w:right w:val="nil"/>
            </w:tcBorders>
          </w:tcPr>
          <w:p w14:paraId="3D2D569F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D9D9D9" w:themeColor="background1" w:themeShade="D9"/>
              <w:right w:val="nil"/>
            </w:tcBorders>
          </w:tcPr>
          <w:p w14:paraId="0F60F7DB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gridSpan w:val="8"/>
            <w:tcBorders>
              <w:top w:val="single" w:sz="4" w:space="0" w:color="ADADAD" w:themeColor="background2" w:themeShade="BF"/>
              <w:left w:val="nil"/>
              <w:bottom w:val="single" w:sz="4" w:space="0" w:color="D9D9D9" w:themeColor="background1" w:themeShade="D9"/>
              <w:right w:val="nil"/>
            </w:tcBorders>
          </w:tcPr>
          <w:p w14:paraId="16113F83" w14:textId="5866836C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AC3" w:rsidRPr="0097513E" w14:paraId="4AAD04FE" w14:textId="77777777" w:rsidTr="00FF7A71">
        <w:tc>
          <w:tcPr>
            <w:tcW w:w="10632" w:type="dxa"/>
            <w:gridSpan w:val="29"/>
            <w:tcBorders>
              <w:top w:val="single" w:sz="4" w:space="0" w:color="D9D9D9" w:themeColor="background1" w:themeShade="D9"/>
              <w:bottom w:val="single" w:sz="6" w:space="0" w:color="ADADAD" w:themeColor="background2" w:themeShade="BF"/>
            </w:tcBorders>
            <w:shd w:val="clear" w:color="auto" w:fill="EAF1F6"/>
          </w:tcPr>
          <w:p w14:paraId="44675176" w14:textId="30DE5C3F" w:rsidR="00E41AC3" w:rsidRPr="00185081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</w:rPr>
              <w:t>Management Summary</w:t>
            </w:r>
          </w:p>
        </w:tc>
      </w:tr>
      <w:tr w:rsidR="00E41AC3" w:rsidRPr="0097513E" w14:paraId="7FB059BD" w14:textId="77777777" w:rsidTr="00531C84">
        <w:tc>
          <w:tcPr>
            <w:tcW w:w="1518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6AA5580A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gridSpan w:val="5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207B3905" w14:textId="271FC7BC" w:rsidR="00E41AC3" w:rsidRPr="009454A9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1.Overall Status</w:t>
            </w:r>
          </w:p>
        </w:tc>
        <w:tc>
          <w:tcPr>
            <w:tcW w:w="1519" w:type="dxa"/>
            <w:gridSpan w:val="3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58E49343" w14:textId="28AFE25A" w:rsidR="00E41AC3" w:rsidRPr="009454A9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2.1 Risks</w:t>
            </w:r>
          </w:p>
        </w:tc>
        <w:tc>
          <w:tcPr>
            <w:tcW w:w="1519" w:type="dxa"/>
            <w:gridSpan w:val="6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46B88EB8" w14:textId="54E510B1" w:rsidR="00E41AC3" w:rsidRPr="009454A9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2.2. Issues</w:t>
            </w:r>
          </w:p>
        </w:tc>
        <w:tc>
          <w:tcPr>
            <w:tcW w:w="1519" w:type="dxa"/>
            <w:gridSpan w:val="5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642F7AAE" w14:textId="0FA91EDA" w:rsidR="00E41AC3" w:rsidRPr="009454A9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3.Financials</w:t>
            </w:r>
          </w:p>
        </w:tc>
        <w:tc>
          <w:tcPr>
            <w:tcW w:w="1519" w:type="dxa"/>
            <w:gridSpan w:val="4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0CD15FFF" w14:textId="2B777C08" w:rsidR="00E41AC3" w:rsidRPr="009454A9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4.Timelines</w:t>
            </w:r>
          </w:p>
        </w:tc>
        <w:tc>
          <w:tcPr>
            <w:tcW w:w="1519" w:type="dxa"/>
            <w:gridSpan w:val="2"/>
            <w:tcBorders>
              <w:top w:val="single" w:sz="6" w:space="0" w:color="ADADAD" w:themeColor="background2" w:themeShade="BF"/>
            </w:tcBorders>
            <w:shd w:val="clear" w:color="auto" w:fill="EBF2F8"/>
          </w:tcPr>
          <w:p w14:paraId="0C825981" w14:textId="38F70771" w:rsidR="00E41AC3" w:rsidRPr="009454A9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5.Resources</w:t>
            </w:r>
          </w:p>
        </w:tc>
      </w:tr>
      <w:tr w:rsidR="00E41AC3" w:rsidRPr="0097513E" w14:paraId="71A2F5F1" w14:textId="77777777" w:rsidTr="00531C84">
        <w:tc>
          <w:tcPr>
            <w:tcW w:w="1518" w:type="dxa"/>
            <w:gridSpan w:val="4"/>
            <w:tcBorders>
              <w:bottom w:val="single" w:sz="6" w:space="0" w:color="ADADAD" w:themeColor="background2" w:themeShade="BF"/>
            </w:tcBorders>
            <w:shd w:val="clear" w:color="auto" w:fill="EBF2F8"/>
          </w:tcPr>
          <w:p w14:paraId="2B6FAA7D" w14:textId="74D77E8A" w:rsidR="00E41AC3" w:rsidRPr="007D78DA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8DA">
              <w:rPr>
                <w:rFonts w:ascii="Arial" w:hAnsi="Arial" w:cs="Arial"/>
                <w:b/>
                <w:bCs/>
                <w:sz w:val="18"/>
                <w:szCs w:val="18"/>
              </w:rPr>
              <w:t>This Report</w:t>
            </w:r>
          </w:p>
        </w:tc>
        <w:tc>
          <w:tcPr>
            <w:tcW w:w="1519" w:type="dxa"/>
            <w:gridSpan w:val="5"/>
            <w:tcBorders>
              <w:bottom w:val="single" w:sz="6" w:space="0" w:color="ADADAD" w:themeColor="background2" w:themeShade="BF"/>
            </w:tcBorders>
            <w:shd w:val="clear" w:color="auto" w:fill="FFC000"/>
          </w:tcPr>
          <w:p w14:paraId="60CA1EA1" w14:textId="362FF941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3"/>
            <w:tcBorders>
              <w:bottom w:val="single" w:sz="6" w:space="0" w:color="ADADAD" w:themeColor="background2" w:themeShade="BF"/>
            </w:tcBorders>
            <w:shd w:val="clear" w:color="auto" w:fill="FF0000"/>
          </w:tcPr>
          <w:p w14:paraId="4B677267" w14:textId="58AA1F00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519" w:type="dxa"/>
            <w:gridSpan w:val="6"/>
            <w:tcBorders>
              <w:bottom w:val="single" w:sz="6" w:space="0" w:color="ADADAD" w:themeColor="background2" w:themeShade="BF"/>
            </w:tcBorders>
            <w:shd w:val="clear" w:color="auto" w:fill="FFC000"/>
          </w:tcPr>
          <w:p w14:paraId="730DF2DB" w14:textId="4EDBFA4D" w:rsidR="00E41AC3" w:rsidRPr="0097513E" w:rsidRDefault="6201C62A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5"/>
            <w:tcBorders>
              <w:bottom w:val="single" w:sz="6" w:space="0" w:color="ADADAD" w:themeColor="background2" w:themeShade="BF"/>
            </w:tcBorders>
            <w:shd w:val="clear" w:color="auto" w:fill="FFC000"/>
          </w:tcPr>
          <w:p w14:paraId="75EC3694" w14:textId="33D3D017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4"/>
            <w:tcBorders>
              <w:bottom w:val="single" w:sz="6" w:space="0" w:color="ADADAD" w:themeColor="background2" w:themeShade="BF"/>
            </w:tcBorders>
            <w:shd w:val="clear" w:color="auto" w:fill="FFC000"/>
          </w:tcPr>
          <w:p w14:paraId="45833EA3" w14:textId="1A6E9B23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2"/>
            <w:tcBorders>
              <w:bottom w:val="single" w:sz="6" w:space="0" w:color="ADADAD" w:themeColor="background2" w:themeShade="BF"/>
            </w:tcBorders>
            <w:shd w:val="clear" w:color="auto" w:fill="92D050"/>
          </w:tcPr>
          <w:p w14:paraId="01F6BC50" w14:textId="178F3C10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E41AC3" w:rsidRPr="0097513E" w14:paraId="25AD5F37" w14:textId="77777777" w:rsidTr="00531C84">
        <w:tc>
          <w:tcPr>
            <w:tcW w:w="1518" w:type="dxa"/>
            <w:gridSpan w:val="4"/>
            <w:tcBorders>
              <w:top w:val="single" w:sz="6" w:space="0" w:color="ADADAD" w:themeColor="background2" w:themeShade="BF"/>
              <w:bottom w:val="single" w:sz="4" w:space="0" w:color="D9D9D9" w:themeColor="background1" w:themeShade="D9"/>
            </w:tcBorders>
            <w:shd w:val="clear" w:color="auto" w:fill="EBF2F8"/>
          </w:tcPr>
          <w:p w14:paraId="13C21731" w14:textId="54E6E3D8" w:rsidR="00E41AC3" w:rsidRPr="00185081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5081">
              <w:rPr>
                <w:rFonts w:ascii="Arial" w:hAnsi="Arial" w:cs="Arial"/>
                <w:sz w:val="18"/>
                <w:szCs w:val="18"/>
              </w:rPr>
              <w:t>Last Report</w:t>
            </w:r>
          </w:p>
        </w:tc>
        <w:tc>
          <w:tcPr>
            <w:tcW w:w="1519" w:type="dxa"/>
            <w:gridSpan w:val="5"/>
            <w:tcBorders>
              <w:top w:val="single" w:sz="6" w:space="0" w:color="ADADAD" w:themeColor="background2" w:themeShade="BF"/>
              <w:bottom w:val="single" w:sz="4" w:space="0" w:color="D9D9D9" w:themeColor="background1" w:themeShade="D9"/>
            </w:tcBorders>
            <w:shd w:val="clear" w:color="auto" w:fill="FFC000"/>
          </w:tcPr>
          <w:p w14:paraId="5779796A" w14:textId="46F14A89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A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3"/>
            <w:tcBorders>
              <w:top w:val="single" w:sz="6" w:space="0" w:color="ADADAD" w:themeColor="background2" w:themeShade="BF"/>
              <w:bottom w:val="single" w:sz="4" w:space="0" w:color="D9D9D9" w:themeColor="background1" w:themeShade="D9"/>
            </w:tcBorders>
            <w:shd w:val="clear" w:color="auto" w:fill="FF0000"/>
          </w:tcPr>
          <w:p w14:paraId="3A1D95D6" w14:textId="309C7596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519" w:type="dxa"/>
            <w:gridSpan w:val="6"/>
            <w:tcBorders>
              <w:top w:val="single" w:sz="6" w:space="0" w:color="ADADAD" w:themeColor="background2" w:themeShade="BF"/>
              <w:bottom w:val="single" w:sz="4" w:space="0" w:color="D9D9D9" w:themeColor="background1" w:themeShade="D9"/>
            </w:tcBorders>
            <w:shd w:val="clear" w:color="auto" w:fill="FFC000"/>
          </w:tcPr>
          <w:p w14:paraId="2510639C" w14:textId="521450A2" w:rsidR="00E41AC3" w:rsidRPr="0097513E" w:rsidRDefault="7632DE70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5"/>
            <w:tcBorders>
              <w:top w:val="single" w:sz="6" w:space="0" w:color="ADADAD" w:themeColor="background2" w:themeShade="BF"/>
              <w:bottom w:val="single" w:sz="4" w:space="0" w:color="D9D9D9" w:themeColor="background1" w:themeShade="D9"/>
            </w:tcBorders>
            <w:shd w:val="clear" w:color="auto" w:fill="FFC000"/>
          </w:tcPr>
          <w:p w14:paraId="180067ED" w14:textId="5FE2CA0F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4"/>
            <w:tcBorders>
              <w:top w:val="single" w:sz="6" w:space="0" w:color="ADADAD" w:themeColor="background2" w:themeShade="BF"/>
              <w:bottom w:val="single" w:sz="4" w:space="0" w:color="D9D9D9" w:themeColor="background1" w:themeShade="D9"/>
            </w:tcBorders>
            <w:shd w:val="clear" w:color="auto" w:fill="FFC000"/>
          </w:tcPr>
          <w:p w14:paraId="5CE66FA1" w14:textId="20424098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2"/>
            <w:tcBorders>
              <w:top w:val="single" w:sz="6" w:space="0" w:color="ADADAD" w:themeColor="background2" w:themeShade="BF"/>
              <w:bottom w:val="single" w:sz="4" w:space="0" w:color="D9D9D9" w:themeColor="background1" w:themeShade="D9"/>
            </w:tcBorders>
            <w:shd w:val="clear" w:color="auto" w:fill="92D050"/>
          </w:tcPr>
          <w:p w14:paraId="629FC09E" w14:textId="311D2D45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E41AC3" w:rsidRPr="0097513E" w14:paraId="21A23894" w14:textId="77777777" w:rsidTr="003F1FAB">
        <w:tc>
          <w:tcPr>
            <w:tcW w:w="1418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72A9774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2" w:type="dxa"/>
            <w:gridSpan w:val="18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800E1C9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gridSpan w:val="8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4E288AE" w14:textId="40134401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AC3" w:rsidRPr="0097513E" w14:paraId="6F744917" w14:textId="77777777" w:rsidTr="00FF7A71">
        <w:tc>
          <w:tcPr>
            <w:tcW w:w="10632" w:type="dxa"/>
            <w:gridSpan w:val="29"/>
            <w:tcBorders>
              <w:top w:val="single" w:sz="4" w:space="0" w:color="D9D9D9" w:themeColor="background1" w:themeShade="D9"/>
              <w:bottom w:val="single" w:sz="6" w:space="0" w:color="ADADAD" w:themeColor="background2" w:themeShade="BF"/>
            </w:tcBorders>
            <w:shd w:val="clear" w:color="auto" w:fill="EAF1F6"/>
          </w:tcPr>
          <w:p w14:paraId="213AFFCE" w14:textId="66927036" w:rsidR="00E41AC3" w:rsidRPr="007D78DA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8DA">
              <w:rPr>
                <w:rFonts w:ascii="Arial" w:hAnsi="Arial" w:cs="Arial"/>
                <w:b/>
                <w:bCs/>
              </w:rPr>
              <w:t>Project Definition</w:t>
            </w:r>
          </w:p>
        </w:tc>
      </w:tr>
      <w:tr w:rsidR="00E41AC3" w:rsidRPr="0097513E" w14:paraId="6411F234" w14:textId="77777777" w:rsidTr="00FF7A71">
        <w:tc>
          <w:tcPr>
            <w:tcW w:w="10632" w:type="dxa"/>
            <w:gridSpan w:val="29"/>
            <w:tcBorders>
              <w:top w:val="single" w:sz="6" w:space="0" w:color="ADADAD" w:themeColor="background2" w:themeShade="BF"/>
            </w:tcBorders>
          </w:tcPr>
          <w:p w14:paraId="2D54B8B5" w14:textId="21ECABB4" w:rsidR="00E41AC3" w:rsidRPr="0097513E" w:rsidRDefault="00E41AC3" w:rsidP="6F1C8AD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b/>
                <w:bCs/>
                <w:sz w:val="18"/>
                <w:szCs w:val="18"/>
              </w:rPr>
              <w:t>Project Stage: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ABBB1B9" w:rsidRPr="6F1C8AD0">
              <w:rPr>
                <w:rFonts w:ascii="Arial" w:hAnsi="Arial" w:cs="Arial"/>
                <w:sz w:val="18"/>
                <w:szCs w:val="18"/>
              </w:rPr>
              <w:t xml:space="preserve">Custom House 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RIBA Stage </w:t>
            </w:r>
            <w:r w:rsidR="5620F74E" w:rsidRPr="6F1C8AD0">
              <w:rPr>
                <w:rFonts w:ascii="Arial" w:hAnsi="Arial" w:cs="Arial"/>
                <w:sz w:val="18"/>
                <w:szCs w:val="18"/>
              </w:rPr>
              <w:t>4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3EE4699" w:rsidRPr="6F1C8AD0">
              <w:rPr>
                <w:rFonts w:ascii="Arial" w:hAnsi="Arial" w:cs="Arial"/>
                <w:sz w:val="18"/>
                <w:szCs w:val="18"/>
              </w:rPr>
              <w:t>Detailed Design</w:t>
            </w:r>
          </w:p>
          <w:p w14:paraId="64C13B6F" w14:textId="2F54F1C4" w:rsidR="00E41AC3" w:rsidRPr="0097513E" w:rsidRDefault="7CC21ED0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1BDB04E5" w:rsidRPr="6F1C8AD0">
              <w:rPr>
                <w:rFonts w:ascii="Arial" w:hAnsi="Arial" w:cs="Arial"/>
                <w:sz w:val="18"/>
                <w:szCs w:val="18"/>
              </w:rPr>
              <w:t xml:space="preserve"> Dryside RIBA 5 Construction </w:t>
            </w:r>
          </w:p>
        </w:tc>
      </w:tr>
      <w:tr w:rsidR="00E41AC3" w:rsidRPr="0097513E" w14:paraId="61E246AC" w14:textId="77777777" w:rsidTr="00FF7A71">
        <w:tc>
          <w:tcPr>
            <w:tcW w:w="10632" w:type="dxa"/>
            <w:gridSpan w:val="29"/>
            <w:tcBorders>
              <w:bottom w:val="single" w:sz="4" w:space="0" w:color="ADADAD" w:themeColor="background2" w:themeShade="BF"/>
            </w:tcBorders>
          </w:tcPr>
          <w:p w14:paraId="4BE3167B" w14:textId="59ACBB8A" w:rsidR="00E41AC3" w:rsidRPr="009B7A8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  <w:sz w:val="18"/>
                <w:szCs w:val="18"/>
              </w:rPr>
              <w:t>Objectives</w:t>
            </w:r>
            <w:r w:rsidRPr="009751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21C13">
              <w:rPr>
                <w:rFonts w:ascii="Arial" w:hAnsi="Arial" w:cs="Arial"/>
                <w:sz w:val="18"/>
                <w:szCs w:val="18"/>
              </w:rPr>
              <w:t>Development of the design to enable the Riverfront area to become an attractive destination space increasing footfall</w:t>
            </w:r>
            <w:r w:rsidR="00B40957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21C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0957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F21C13">
              <w:rPr>
                <w:rFonts w:ascii="Arial" w:hAnsi="Arial" w:cs="Arial"/>
                <w:sz w:val="18"/>
                <w:szCs w:val="18"/>
              </w:rPr>
              <w:t>promoting day and nighttime use, facilitating events etc</w:t>
            </w:r>
            <w:r w:rsidR="007224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41AC3" w:rsidRPr="0097513E" w14:paraId="45717AD6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5BBEC9F" w14:textId="5BB3063E" w:rsidR="00E41AC3" w:rsidRPr="00F21C13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Scope: </w:t>
            </w:r>
            <w:r w:rsidRPr="00F66202">
              <w:rPr>
                <w:rFonts w:ascii="Arial" w:hAnsi="Arial" w:cs="Arial"/>
                <w:sz w:val="18"/>
                <w:szCs w:val="18"/>
              </w:rPr>
              <w:t xml:space="preserve">Renovation of the Custom House, improvements to King’s Staithe Square, </w:t>
            </w:r>
            <w:r w:rsidR="007224A0">
              <w:rPr>
                <w:rFonts w:ascii="Arial" w:hAnsi="Arial" w:cs="Arial"/>
                <w:sz w:val="18"/>
                <w:szCs w:val="18"/>
              </w:rPr>
              <w:t>S</w:t>
            </w:r>
            <w:r w:rsidRPr="00F66202">
              <w:rPr>
                <w:rFonts w:ascii="Arial" w:hAnsi="Arial" w:cs="Arial"/>
                <w:sz w:val="18"/>
                <w:szCs w:val="18"/>
              </w:rPr>
              <w:t xml:space="preserve">outh </w:t>
            </w:r>
            <w:r w:rsidR="007224A0">
              <w:rPr>
                <w:rFonts w:ascii="Arial" w:hAnsi="Arial" w:cs="Arial"/>
                <w:sz w:val="18"/>
                <w:szCs w:val="18"/>
              </w:rPr>
              <w:t>Q</w:t>
            </w:r>
            <w:r w:rsidRPr="00F66202">
              <w:rPr>
                <w:rFonts w:ascii="Arial" w:hAnsi="Arial" w:cs="Arial"/>
                <w:sz w:val="18"/>
                <w:szCs w:val="18"/>
              </w:rPr>
              <w:t>uay public realm and dry side facilities</w:t>
            </w:r>
          </w:p>
        </w:tc>
      </w:tr>
      <w:tr w:rsidR="00E41AC3" w:rsidRPr="0097513E" w14:paraId="5B764A92" w14:textId="77777777" w:rsidTr="003F1FAB">
        <w:tc>
          <w:tcPr>
            <w:tcW w:w="1418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D822CF3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6032B82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gridSpan w:val="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2A91422" w14:textId="6EE158C4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AC3" w:rsidRPr="0097513E" w14:paraId="60756858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F913399" w14:textId="1325AE6F" w:rsidR="00E41AC3" w:rsidRPr="006C2C35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C35">
              <w:rPr>
                <w:rFonts w:ascii="Arial" w:hAnsi="Arial" w:cs="Arial"/>
                <w:b/>
                <w:bCs/>
              </w:rPr>
              <w:t>1. Overall Status (high-level summary)</w:t>
            </w:r>
          </w:p>
        </w:tc>
      </w:tr>
      <w:tr w:rsidR="00E41AC3" w:rsidRPr="0097513E" w14:paraId="2B89DE8B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A2BB331" w14:textId="77777777" w:rsidR="007153A8" w:rsidRPr="006B1BFA" w:rsidRDefault="007153A8" w:rsidP="007153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B1BFA">
              <w:rPr>
                <w:rFonts w:ascii="Arial" w:hAnsi="Arial" w:cs="Arial"/>
                <w:sz w:val="18"/>
                <w:szCs w:val="18"/>
              </w:rPr>
              <w:t>Overall RAG Status is AMBER.</w:t>
            </w:r>
          </w:p>
          <w:p w14:paraId="19861966" w14:textId="4CC19E4F" w:rsidR="007153A8" w:rsidRPr="009E3B4D" w:rsidRDefault="007153A8" w:rsidP="00C97FB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The Devil’s Alley </w:t>
            </w:r>
            <w:r w:rsidR="6F60FB13"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>component</w:t>
            </w:r>
            <w:r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of the project will now </w:t>
            </w:r>
            <w:r w:rsidR="6F60FB13"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>proceed</w:t>
            </w:r>
            <w:r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under</w:t>
            </w:r>
            <w:r w:rsidR="00A334F9"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the</w:t>
            </w:r>
            <w:r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P</w:t>
            </w:r>
            <w:r w:rsidR="00A334F9"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>ride in Place</w:t>
            </w:r>
            <w:r w:rsidR="00EE1D5A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(PiP) </w:t>
            </w:r>
            <w:r w:rsidR="00A334F9"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>Programme funding</w:t>
            </w:r>
            <w:r w:rsidR="6F823835" w:rsidRPr="5396A552">
              <w:rPr>
                <w:rFonts w:ascii="Arial" w:eastAsia="Arial" w:hAnsi="Arial" w:cs="Arial"/>
                <w:sz w:val="18"/>
                <w:szCs w:val="18"/>
                <w:lang w:val="en-US"/>
              </w:rPr>
              <w:t>.</w:t>
            </w:r>
          </w:p>
          <w:p w14:paraId="0B740F5D" w14:textId="77777777" w:rsidR="00C83653" w:rsidRDefault="6F60FB13" w:rsidP="00C97FB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18FD42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 Project Adjustment Request has been submitted to MHCLG, formalising the revised scope, outputs, and funding allocations. </w:t>
            </w:r>
          </w:p>
          <w:p w14:paraId="54499DDA" w14:textId="5BA60754" w:rsidR="6F60FB13" w:rsidRDefault="6F60FB13" w:rsidP="00C97FB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18FD42C">
              <w:rPr>
                <w:rFonts w:ascii="Arial" w:eastAsia="Arial" w:hAnsi="Arial" w:cs="Arial"/>
                <w:sz w:val="18"/>
                <w:szCs w:val="18"/>
                <w:lang w:val="en-US"/>
              </w:rPr>
              <w:t>As part of this adjustment, £2 million will be reallocated from the Riverfront Regeneration to the St George’s Guildhall and Creative Hub project. Guidance on completing this process is expected shortly.</w:t>
            </w:r>
          </w:p>
          <w:p w14:paraId="520F022B" w14:textId="012E37E1" w:rsidR="6F60FB13" w:rsidRDefault="00F21CA6" w:rsidP="00C97FB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U</w:t>
            </w:r>
            <w:r w:rsidR="6F60FB13" w:rsidRPr="218FD42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pdated Business Plan and Economic Case </w:t>
            </w:r>
            <w:r w:rsidR="002F626E" w:rsidRPr="218FD42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to reflect the new scope </w:t>
            </w:r>
            <w:r w:rsidR="6F60FB13" w:rsidRPr="218FD42C">
              <w:rPr>
                <w:rFonts w:ascii="Arial" w:eastAsia="Arial" w:hAnsi="Arial" w:cs="Arial"/>
                <w:sz w:val="18"/>
                <w:szCs w:val="18"/>
                <w:lang w:val="en-US"/>
              </w:rPr>
              <w:t>has been prepare</w:t>
            </w:r>
            <w:r w:rsidR="00417018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d with a preferred option for Custom House identified. </w:t>
            </w:r>
          </w:p>
          <w:p w14:paraId="4019169D" w14:textId="0B84F329" w:rsidR="6F60FB13" w:rsidRDefault="6F60FB13" w:rsidP="00C97FB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218FD42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 comprehensive reprogramming exercise has also been carried out to align </w:t>
            </w:r>
            <w:r w:rsidR="00AB0446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the project timeline while keeping as close to original programme as possible. </w:t>
            </w:r>
          </w:p>
          <w:p w14:paraId="6ED54CEF" w14:textId="77777777" w:rsidR="00A33DA6" w:rsidRDefault="0031185A" w:rsidP="00C97FB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Planning permission and listed building consent granted for both </w:t>
            </w:r>
            <w:r w:rsidR="00D0585D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Custom House and Dryside</w:t>
            </w:r>
            <w:r w:rsidR="00A33DA6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3FBCCB37" w14:textId="3EAF7229" w:rsidR="0031185A" w:rsidRDefault="00A33DA6" w:rsidP="00C97FB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W</w:t>
            </w:r>
            <w:r w:rsidR="0031185A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orks to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the </w:t>
            </w:r>
            <w:r w:rsidR="0031185A">
              <w:rPr>
                <w:rFonts w:ascii="Arial" w:eastAsia="Arial" w:hAnsi="Arial" w:cs="Arial"/>
                <w:sz w:val="18"/>
                <w:szCs w:val="18"/>
                <w:lang w:val="en-US"/>
              </w:rPr>
              <w:t>Dryside started in January</w:t>
            </w:r>
            <w:r w:rsidR="00F2200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and are due to be completed in July 2026. </w:t>
            </w:r>
          </w:p>
          <w:p w14:paraId="05E489DF" w14:textId="686E4D62" w:rsidR="00E41AC3" w:rsidRPr="00F3292F" w:rsidRDefault="6F60FB13" w:rsidP="218FD42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>A historical</w:t>
            </w:r>
            <w:r w:rsidR="007153A8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accounting issue identified </w:t>
            </w:r>
            <w:r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>that impact</w:t>
            </w:r>
            <w:r w:rsidR="00B04070">
              <w:rPr>
                <w:rFonts w:ascii="Arial" w:eastAsia="Arial" w:hAnsi="Arial" w:cs="Arial"/>
                <w:sz w:val="18"/>
                <w:szCs w:val="18"/>
                <w:lang w:val="en-US"/>
              </w:rPr>
              <w:t>ed</w:t>
            </w:r>
            <w:r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the </w:t>
            </w:r>
            <w:r w:rsidR="007153A8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remaining </w:t>
            </w:r>
            <w:r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available </w:t>
            </w:r>
            <w:r w:rsidR="007153A8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>budget</w:t>
            </w:r>
            <w:r w:rsidR="00B0407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has sought r</w:t>
            </w:r>
            <w:r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>esolution</w:t>
            </w:r>
            <w:r w:rsidR="007153A8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>through</w:t>
            </w:r>
            <w:r w:rsidR="007153A8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 w:rsidR="00B0407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the </w:t>
            </w:r>
            <w:r w:rsidR="007153A8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wider programme underspend </w:t>
            </w:r>
            <w:r w:rsidR="0087292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and funding </w:t>
            </w:r>
            <w:r w:rsidR="6FCDB927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re-allocation </w:t>
            </w:r>
            <w:r w:rsidR="5085103F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>(</w:t>
            </w:r>
            <w:r w:rsidR="00C81D1C">
              <w:rPr>
                <w:rFonts w:ascii="Arial" w:eastAsia="Arial" w:hAnsi="Arial" w:cs="Arial"/>
                <w:sz w:val="18"/>
                <w:szCs w:val="18"/>
                <w:lang w:val="en-US"/>
              </w:rPr>
              <w:t>£</w:t>
            </w:r>
            <w:r w:rsidR="5085103F" w:rsidRPr="427CEEE5">
              <w:rPr>
                <w:rFonts w:ascii="Arial" w:eastAsia="Arial" w:hAnsi="Arial" w:cs="Arial"/>
                <w:sz w:val="18"/>
                <w:szCs w:val="18"/>
                <w:lang w:val="en-US"/>
              </w:rPr>
              <w:t>595k)</w:t>
            </w:r>
            <w:r w:rsidR="0087292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</w:t>
            </w:r>
            <w:r w:rsidR="0012407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Following </w:t>
            </w:r>
            <w:r w:rsidR="007D49F0">
              <w:rPr>
                <w:rFonts w:ascii="Arial" w:eastAsia="Arial" w:hAnsi="Arial" w:cs="Arial"/>
                <w:sz w:val="18"/>
                <w:szCs w:val="18"/>
                <w:lang w:val="en-US"/>
              </w:rPr>
              <w:t>approval,</w:t>
            </w:r>
            <w:r w:rsidR="0012407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t</w:t>
            </w:r>
            <w:r w:rsidR="005C5AC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he </w:t>
            </w:r>
            <w:r w:rsidR="007D49F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capital </w:t>
            </w:r>
            <w:r w:rsidR="005C5ACC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project is now fully funded. </w:t>
            </w:r>
          </w:p>
        </w:tc>
      </w:tr>
      <w:tr w:rsidR="00E41AC3" w:rsidRPr="0097513E" w14:paraId="097A91A4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436EB74B" w14:textId="77777777" w:rsidR="00E41AC3" w:rsidRPr="006B1BFA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AC3" w:rsidRPr="0097513E" w14:paraId="5716CC65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6BF2A7A8" w14:textId="06CEB922" w:rsidR="00E41AC3" w:rsidRPr="006C2C35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C35">
              <w:rPr>
                <w:rFonts w:ascii="Arial" w:hAnsi="Arial" w:cs="Arial"/>
                <w:b/>
                <w:bCs/>
              </w:rPr>
              <w:t xml:space="preserve">1.1 Decisions required by the </w:t>
            </w:r>
            <w:r>
              <w:rPr>
                <w:rFonts w:ascii="Arial" w:hAnsi="Arial" w:cs="Arial"/>
                <w:b/>
                <w:bCs/>
              </w:rPr>
              <w:t xml:space="preserve">Neighbourhood </w:t>
            </w:r>
            <w:r w:rsidRPr="006C2C35">
              <w:rPr>
                <w:rFonts w:ascii="Arial" w:hAnsi="Arial" w:cs="Arial"/>
                <w:b/>
                <w:bCs/>
              </w:rPr>
              <w:t>Board</w:t>
            </w:r>
          </w:p>
        </w:tc>
      </w:tr>
      <w:tr w:rsidR="00E41AC3" w:rsidRPr="0097513E" w14:paraId="1C825F96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12F3EA0" w14:textId="1364768E" w:rsidR="00E41AC3" w:rsidRPr="0097513E" w:rsidRDefault="00F3292F" w:rsidP="003F4BE2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CBB3973" w:rsidRPr="5396A552"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E41AC3" w:rsidRPr="0097513E" w14:paraId="2C713B07" w14:textId="77777777" w:rsidTr="003F1FAB">
        <w:tc>
          <w:tcPr>
            <w:tcW w:w="1418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099C0B4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582909C" w14:textId="77777777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gridSpan w:val="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CF274A1" w14:textId="51B67279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AC3" w:rsidRPr="0097513E" w14:paraId="319CB415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4F0944AE" w14:textId="1EAAB0E0" w:rsidR="00E41AC3" w:rsidRPr="00B74267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267">
              <w:rPr>
                <w:rFonts w:ascii="Arial" w:hAnsi="Arial" w:cs="Arial"/>
                <w:b/>
                <w:bCs/>
              </w:rPr>
              <w:t>1.2   Achievements during this period</w:t>
            </w:r>
          </w:p>
        </w:tc>
      </w:tr>
      <w:tr w:rsidR="00E41AC3" w:rsidRPr="0097513E" w14:paraId="19B5B50A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04068679" w14:textId="426C91A6" w:rsidR="00A64D5E" w:rsidRDefault="00A64D5E" w:rsidP="4AAC3A5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Custom House works package tender</w:t>
            </w:r>
            <w:r w:rsidR="002C50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065">
              <w:rPr>
                <w:rFonts w:ascii="Arial" w:hAnsi="Arial" w:cs="Arial"/>
                <w:sz w:val="18"/>
                <w:szCs w:val="18"/>
              </w:rPr>
              <w:t xml:space="preserve">went </w:t>
            </w:r>
            <w:r>
              <w:rPr>
                <w:rFonts w:ascii="Arial" w:hAnsi="Arial" w:cs="Arial"/>
                <w:sz w:val="18"/>
                <w:szCs w:val="18"/>
              </w:rPr>
              <w:t>live</w:t>
            </w:r>
            <w:r w:rsidR="00B23065">
              <w:rPr>
                <w:rFonts w:ascii="Arial" w:hAnsi="Arial" w:cs="Arial"/>
                <w:sz w:val="18"/>
                <w:szCs w:val="18"/>
              </w:rPr>
              <w:t xml:space="preserve"> and closed </w:t>
            </w:r>
            <w:r w:rsidR="00D3199B">
              <w:rPr>
                <w:rFonts w:ascii="Arial" w:hAnsi="Arial" w:cs="Arial"/>
                <w:sz w:val="18"/>
                <w:szCs w:val="18"/>
              </w:rPr>
              <w:t>30</w:t>
            </w:r>
            <w:r w:rsidR="00DC68FB" w:rsidRPr="00DC68F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2245B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D3199B">
              <w:rPr>
                <w:rFonts w:ascii="Arial" w:hAnsi="Arial" w:cs="Arial"/>
                <w:sz w:val="18"/>
                <w:szCs w:val="18"/>
              </w:rPr>
              <w:t xml:space="preserve">March 2026. </w:t>
            </w:r>
          </w:p>
          <w:p w14:paraId="15F3E9C4" w14:textId="5D81D55B" w:rsidR="00A64D5E" w:rsidRDefault="00A64D5E" w:rsidP="4AAC3A5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Contractor site visit day for bidders </w:t>
            </w:r>
            <w:r w:rsidR="002F27F9">
              <w:rPr>
                <w:rFonts w:ascii="Arial" w:hAnsi="Arial" w:cs="Arial"/>
                <w:sz w:val="18"/>
                <w:szCs w:val="18"/>
              </w:rPr>
              <w:t xml:space="preserve">took place </w:t>
            </w:r>
            <w:r w:rsidR="002C5064">
              <w:rPr>
                <w:rFonts w:ascii="Arial" w:hAnsi="Arial" w:cs="Arial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Pr="00A64D5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March</w:t>
            </w:r>
            <w:r w:rsidR="002F27F9">
              <w:rPr>
                <w:rFonts w:ascii="Arial" w:hAnsi="Arial" w:cs="Arial"/>
                <w:sz w:val="18"/>
                <w:szCs w:val="18"/>
              </w:rPr>
              <w:t>,</w:t>
            </w:r>
            <w:r w:rsidR="002C5064">
              <w:rPr>
                <w:rFonts w:ascii="Arial" w:hAnsi="Arial" w:cs="Arial"/>
                <w:sz w:val="18"/>
                <w:szCs w:val="18"/>
              </w:rPr>
              <w:t xml:space="preserve"> with 11 </w:t>
            </w:r>
            <w:r w:rsidR="005D5D36">
              <w:rPr>
                <w:rFonts w:ascii="Arial" w:hAnsi="Arial" w:cs="Arial"/>
                <w:sz w:val="18"/>
                <w:szCs w:val="18"/>
              </w:rPr>
              <w:t xml:space="preserve">contractors attending.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F33ADC" w14:textId="77777777" w:rsidR="005C0DA1" w:rsidRPr="005C0DA1" w:rsidRDefault="005C0DA1" w:rsidP="005C0DA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5C0DA1">
              <w:rPr>
                <w:rFonts w:ascii="Arial" w:hAnsi="Arial" w:cs="Arial"/>
                <w:sz w:val="18"/>
                <w:szCs w:val="18"/>
              </w:rPr>
              <w:t xml:space="preserve">Draft licence issued from Custom House building owner for permission for works, some small amendments to be made before signing. </w:t>
            </w:r>
          </w:p>
          <w:p w14:paraId="3F7787BA" w14:textId="57692B8B" w:rsidR="005C0DA1" w:rsidRPr="005C0DA1" w:rsidRDefault="005C0DA1" w:rsidP="005C0DA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5C0DA1">
              <w:rPr>
                <w:rFonts w:ascii="Arial" w:hAnsi="Arial" w:cs="Arial"/>
                <w:sz w:val="18"/>
                <w:szCs w:val="18"/>
              </w:rPr>
              <w:t xml:space="preserve">Cabinet Paper submitted to seek approval to ‘let’ the contract for works. </w:t>
            </w:r>
          </w:p>
          <w:p w14:paraId="04D52B38" w14:textId="5ECF105E" w:rsidR="00395BB3" w:rsidRPr="00395BB3" w:rsidRDefault="0A6C60AF" w:rsidP="4AAC3A5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Work</w:t>
            </w:r>
            <w:r w:rsidR="00CC67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F12">
              <w:rPr>
                <w:rFonts w:ascii="Arial" w:hAnsi="Arial" w:cs="Arial"/>
                <w:sz w:val="18"/>
                <w:szCs w:val="18"/>
              </w:rPr>
              <w:t>continues</w:t>
            </w:r>
            <w:r w:rsidR="00CC6752">
              <w:rPr>
                <w:rFonts w:ascii="Arial" w:hAnsi="Arial" w:cs="Arial"/>
                <w:sz w:val="18"/>
                <w:szCs w:val="18"/>
              </w:rPr>
              <w:t xml:space="preserve"> to progress at Dryside, w</w:t>
            </w:r>
            <w:r w:rsidR="00D932A0">
              <w:rPr>
                <w:rFonts w:ascii="Arial" w:hAnsi="Arial" w:cs="Arial"/>
                <w:sz w:val="18"/>
                <w:szCs w:val="18"/>
              </w:rPr>
              <w:t xml:space="preserve">ith the </w:t>
            </w:r>
            <w:r w:rsidR="005D5D36">
              <w:rPr>
                <w:rFonts w:ascii="Arial" w:hAnsi="Arial" w:cs="Arial"/>
                <w:sz w:val="18"/>
                <w:szCs w:val="18"/>
              </w:rPr>
              <w:t>second</w:t>
            </w:r>
            <w:r w:rsidR="00CC6752">
              <w:rPr>
                <w:rFonts w:ascii="Arial" w:hAnsi="Arial" w:cs="Arial"/>
                <w:sz w:val="18"/>
                <w:szCs w:val="18"/>
              </w:rPr>
              <w:t xml:space="preserve"> valuation </w:t>
            </w:r>
            <w:r w:rsidR="001510EF">
              <w:rPr>
                <w:rFonts w:ascii="Arial" w:hAnsi="Arial" w:cs="Arial"/>
                <w:sz w:val="18"/>
                <w:szCs w:val="18"/>
              </w:rPr>
              <w:t>submitted for payment</w:t>
            </w:r>
            <w:r w:rsidR="005D5D3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3D688E3" w14:textId="0E80267B" w:rsidR="6F1C8AD0" w:rsidRDefault="358A18B7" w:rsidP="00CE60F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Fortnightly meetings</w:t>
            </w:r>
            <w:r w:rsidR="4C8121E9" w:rsidRPr="427CE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1348">
              <w:rPr>
                <w:rFonts w:ascii="Arial" w:hAnsi="Arial" w:cs="Arial"/>
                <w:sz w:val="18"/>
                <w:szCs w:val="18"/>
              </w:rPr>
              <w:t xml:space="preserve">continue </w:t>
            </w:r>
            <w:r w:rsidRPr="427CEEE5">
              <w:rPr>
                <w:rFonts w:ascii="Arial" w:hAnsi="Arial" w:cs="Arial"/>
                <w:sz w:val="18"/>
                <w:szCs w:val="18"/>
              </w:rPr>
              <w:t>with Public Open Space</w:t>
            </w:r>
            <w:r w:rsidR="102E70A3" w:rsidRPr="427CEEE5">
              <w:rPr>
                <w:rFonts w:ascii="Arial" w:hAnsi="Arial" w:cs="Arial"/>
                <w:sz w:val="18"/>
                <w:szCs w:val="18"/>
              </w:rPr>
              <w:t>/Property Services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team to confirm operational handover for Dryside at completion.</w:t>
            </w:r>
          </w:p>
          <w:p w14:paraId="482B2D4F" w14:textId="059FA314" w:rsidR="00D3382B" w:rsidRPr="00CE60F0" w:rsidRDefault="00D3382B" w:rsidP="00CE60F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Arrangements for CCTV and security access confirmed with BCKLWN’s ops team. </w:t>
            </w:r>
          </w:p>
          <w:p w14:paraId="0931A860" w14:textId="263AF0CD" w:rsidR="00E469BA" w:rsidRDefault="005C0DA1" w:rsidP="00E469B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Meeting a</w:t>
            </w:r>
            <w:r w:rsidR="00092CC9">
              <w:rPr>
                <w:rFonts w:ascii="Arial" w:hAnsi="Arial" w:cs="Arial"/>
                <w:sz w:val="18"/>
                <w:szCs w:val="18"/>
              </w:rPr>
              <w:t>rrange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E469BA">
              <w:rPr>
                <w:rFonts w:ascii="Arial" w:hAnsi="Arial" w:cs="Arial"/>
                <w:sz w:val="18"/>
                <w:szCs w:val="18"/>
              </w:rPr>
              <w:t xml:space="preserve"> with Norfolk Museum Services for </w:t>
            </w:r>
            <w:r w:rsidR="00092CC9">
              <w:rPr>
                <w:rFonts w:ascii="Arial" w:hAnsi="Arial" w:cs="Arial"/>
                <w:sz w:val="18"/>
                <w:szCs w:val="18"/>
              </w:rPr>
              <w:t xml:space="preserve">removal of their items from Custom House for duration of works. </w:t>
            </w:r>
          </w:p>
          <w:p w14:paraId="4C2A5CB4" w14:textId="5DDC4296" w:rsidR="00092CC9" w:rsidRDefault="00552CC1" w:rsidP="00E469B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Devil’s Alley and area behind Dryside and Sommerfeld and Thomas </w:t>
            </w:r>
            <w:r w:rsidR="00E25753">
              <w:rPr>
                <w:rFonts w:ascii="Arial" w:hAnsi="Arial" w:cs="Arial"/>
                <w:sz w:val="18"/>
                <w:szCs w:val="18"/>
              </w:rPr>
              <w:t xml:space="preserve">building </w:t>
            </w:r>
            <w:r>
              <w:rPr>
                <w:rFonts w:ascii="Arial" w:hAnsi="Arial" w:cs="Arial"/>
                <w:sz w:val="18"/>
                <w:szCs w:val="18"/>
              </w:rPr>
              <w:t>has been cleared of overgrown vegetation</w:t>
            </w:r>
            <w:r w:rsidR="002D69E1">
              <w:rPr>
                <w:rFonts w:ascii="Arial" w:hAnsi="Arial" w:cs="Arial"/>
                <w:sz w:val="18"/>
                <w:szCs w:val="18"/>
              </w:rPr>
              <w:t xml:space="preserve"> with instruction to Public Open Space team to continue with bimonthly maintenance of site. </w:t>
            </w:r>
          </w:p>
          <w:p w14:paraId="6F9E0998" w14:textId="77777777" w:rsidR="00CE60F0" w:rsidRPr="00E469BA" w:rsidRDefault="00CE60F0" w:rsidP="00CE60F0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0D1CB81" w14:textId="160F2FC7" w:rsidR="274C2C2C" w:rsidRDefault="274C2C2C" w:rsidP="427CEE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27CEEE5">
              <w:rPr>
                <w:rFonts w:ascii="Arial" w:hAnsi="Arial" w:cs="Arial"/>
                <w:b/>
                <w:bCs/>
                <w:sz w:val="18"/>
                <w:szCs w:val="18"/>
              </w:rPr>
              <w:t>Priorities for next period:</w:t>
            </w:r>
          </w:p>
          <w:p w14:paraId="2C06C034" w14:textId="77777777" w:rsidR="00632C21" w:rsidRDefault="00632C21" w:rsidP="00971A2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Get </w:t>
            </w:r>
            <w:r w:rsidR="00185664">
              <w:rPr>
                <w:rFonts w:ascii="Arial" w:hAnsi="Arial" w:cs="Arial"/>
                <w:sz w:val="18"/>
                <w:szCs w:val="18"/>
              </w:rPr>
              <w:t>Licence required to give permission for works</w:t>
            </w:r>
            <w:r>
              <w:rPr>
                <w:rFonts w:ascii="Arial" w:hAnsi="Arial" w:cs="Arial"/>
                <w:sz w:val="18"/>
                <w:szCs w:val="18"/>
              </w:rPr>
              <w:t xml:space="preserve"> signed with Custom House Building Owner.</w:t>
            </w:r>
          </w:p>
          <w:p w14:paraId="58D3301F" w14:textId="6E33604B" w:rsidR="00695868" w:rsidRDefault="00695868" w:rsidP="00971A2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tender returns and progress aware for works with successful bidder. </w:t>
            </w:r>
          </w:p>
          <w:p w14:paraId="1ACC3BFF" w14:textId="6374FDA1" w:rsidR="00395BB3" w:rsidRPr="00395BB3" w:rsidRDefault="00632C21" w:rsidP="00971A2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Take cabinet paper to Regeneration and Development Panel on </w:t>
            </w:r>
            <w:r w:rsidR="00337D0B">
              <w:rPr>
                <w:rFonts w:ascii="Arial" w:hAnsi="Arial" w:cs="Arial"/>
                <w:sz w:val="18"/>
                <w:szCs w:val="18"/>
              </w:rPr>
              <w:t>3</w:t>
            </w:r>
            <w:r w:rsidR="00F42605">
              <w:rPr>
                <w:rFonts w:ascii="Arial" w:hAnsi="Arial" w:cs="Arial"/>
                <w:sz w:val="18"/>
                <w:szCs w:val="18"/>
              </w:rPr>
              <w:t>1</w:t>
            </w:r>
            <w:r w:rsidR="00BA1DDE" w:rsidRPr="00F42605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BA1DDE">
              <w:rPr>
                <w:rFonts w:ascii="Arial" w:hAnsi="Arial" w:cs="Arial"/>
                <w:sz w:val="18"/>
                <w:szCs w:val="18"/>
              </w:rPr>
              <w:t xml:space="preserve"> March</w:t>
            </w:r>
            <w:r w:rsidR="00337D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868">
              <w:rPr>
                <w:rFonts w:ascii="Arial" w:hAnsi="Arial" w:cs="Arial"/>
                <w:sz w:val="18"/>
                <w:szCs w:val="18"/>
              </w:rPr>
              <w:t>and then Cabinet on 23</w:t>
            </w:r>
            <w:r w:rsidR="00695868" w:rsidRPr="00695868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695868">
              <w:rPr>
                <w:rFonts w:ascii="Arial" w:hAnsi="Arial" w:cs="Arial"/>
                <w:sz w:val="18"/>
                <w:szCs w:val="18"/>
              </w:rPr>
              <w:t xml:space="preserve"> Apri</w:t>
            </w:r>
            <w:r w:rsidR="00F42605">
              <w:rPr>
                <w:rFonts w:ascii="Arial" w:hAnsi="Arial" w:cs="Arial"/>
                <w:sz w:val="18"/>
                <w:szCs w:val="18"/>
              </w:rPr>
              <w:t>l, for approval to ‘</w:t>
            </w:r>
            <w:proofErr w:type="gramStart"/>
            <w:r w:rsidR="00F42605">
              <w:rPr>
                <w:rFonts w:ascii="Arial" w:hAnsi="Arial" w:cs="Arial"/>
                <w:sz w:val="18"/>
                <w:szCs w:val="18"/>
              </w:rPr>
              <w:t>let;</w:t>
            </w:r>
            <w:proofErr w:type="gramEnd"/>
            <w:r w:rsidR="00F42605">
              <w:rPr>
                <w:rFonts w:ascii="Arial" w:hAnsi="Arial" w:cs="Arial"/>
                <w:sz w:val="18"/>
                <w:szCs w:val="18"/>
              </w:rPr>
              <w:t xml:space="preserve"> Custom House contract</w:t>
            </w:r>
            <w:r w:rsidR="0069586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20AE30BF" w:rsidRPr="427CEE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3CD560" w14:textId="75F0E609" w:rsidR="00395BB3" w:rsidRPr="00395BB3" w:rsidRDefault="6B2CC4B9" w:rsidP="00971A2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Continue</w:t>
            </w:r>
            <w:r w:rsidR="5D288165" w:rsidRPr="427CE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E86EFB2" w:rsidRPr="427CEEE5">
              <w:rPr>
                <w:rFonts w:ascii="Arial" w:hAnsi="Arial" w:cs="Arial"/>
                <w:sz w:val="18"/>
                <w:szCs w:val="18"/>
              </w:rPr>
              <w:t>arrangements</w:t>
            </w:r>
            <w:r w:rsidR="6A4B84B0" w:rsidRPr="427CEEE5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="6FA6BE30" w:rsidRPr="427CEEE5">
              <w:rPr>
                <w:rFonts w:ascii="Arial" w:hAnsi="Arial" w:cs="Arial"/>
                <w:sz w:val="18"/>
                <w:szCs w:val="18"/>
              </w:rPr>
              <w:t xml:space="preserve"> removal</w:t>
            </w:r>
            <w:r w:rsidR="45070A9C" w:rsidRPr="427CEEE5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="71BE3408" w:rsidRPr="427CEEE5">
              <w:rPr>
                <w:rFonts w:ascii="Arial" w:hAnsi="Arial" w:cs="Arial"/>
                <w:sz w:val="18"/>
                <w:szCs w:val="18"/>
              </w:rPr>
              <w:t xml:space="preserve"> unfixed fittings</w:t>
            </w:r>
            <w:r w:rsidR="14700B3D" w:rsidRPr="427CEEE5">
              <w:rPr>
                <w:rFonts w:ascii="Arial" w:hAnsi="Arial" w:cs="Arial"/>
                <w:sz w:val="18"/>
                <w:szCs w:val="18"/>
              </w:rPr>
              <w:t xml:space="preserve"> from Custom House</w:t>
            </w:r>
            <w:r w:rsidR="71BE3408" w:rsidRPr="427CEEE5">
              <w:rPr>
                <w:rFonts w:ascii="Arial" w:hAnsi="Arial" w:cs="Arial"/>
                <w:sz w:val="18"/>
                <w:szCs w:val="18"/>
              </w:rPr>
              <w:t xml:space="preserve"> (liaison with Property Team and Norfolk Museum Services)</w:t>
            </w:r>
            <w:r w:rsidR="645CACA3" w:rsidRPr="427CEEE5">
              <w:rPr>
                <w:rFonts w:ascii="Arial" w:hAnsi="Arial" w:cs="Arial"/>
                <w:sz w:val="18"/>
                <w:szCs w:val="18"/>
              </w:rPr>
              <w:t>.</w:t>
            </w:r>
            <w:r w:rsidR="5512AAFF" w:rsidRPr="427CEEE5">
              <w:rPr>
                <w:rFonts w:ascii="Arial" w:hAnsi="Arial" w:cs="Arial"/>
                <w:sz w:val="18"/>
                <w:szCs w:val="18"/>
              </w:rPr>
              <w:t xml:space="preserve"> Including Parliament Clock, on loan from Liverpool Museums. </w:t>
            </w:r>
          </w:p>
          <w:p w14:paraId="6840BA2A" w14:textId="3DAEF5CF" w:rsidR="002245B0" w:rsidRPr="002245B0" w:rsidRDefault="7E78C608" w:rsidP="002245B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Continue to explore interpretation/volunteering options for</w:t>
            </w:r>
            <w:r w:rsidR="00846105">
              <w:rPr>
                <w:rFonts w:ascii="Arial" w:hAnsi="Arial" w:cs="Arial"/>
                <w:sz w:val="18"/>
                <w:szCs w:val="18"/>
              </w:rPr>
              <w:t xml:space="preserve"> activation of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Custom House after </w:t>
            </w:r>
            <w:r w:rsidR="0A405166" w:rsidRPr="427CEEE5">
              <w:rPr>
                <w:rFonts w:ascii="Arial" w:hAnsi="Arial" w:cs="Arial"/>
                <w:sz w:val="18"/>
                <w:szCs w:val="18"/>
              </w:rPr>
              <w:t>works.</w:t>
            </w:r>
          </w:p>
          <w:p w14:paraId="4B7D1C5B" w14:textId="60858821" w:rsidR="009E395D" w:rsidRPr="00395BB3" w:rsidRDefault="009E395D" w:rsidP="00695868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AC3" w:rsidRPr="0097513E" w14:paraId="2B929299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57CE9763" w14:textId="07903AAA" w:rsidR="00E41AC3" w:rsidRPr="00B74267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506AD" w:rsidRPr="0097513E" w14:paraId="37E2B4B5" w14:textId="77777777" w:rsidTr="00FF7A71">
        <w:trPr>
          <w:trHeight w:val="317"/>
        </w:trPr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0D8B665D" w14:textId="432752F1" w:rsidR="00E506AD" w:rsidRPr="00B74267" w:rsidRDefault="00E506AD" w:rsidP="00E41AC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4267">
              <w:rPr>
                <w:rFonts w:ascii="Arial" w:hAnsi="Arial" w:cs="Arial"/>
                <w:b/>
                <w:bCs/>
              </w:rPr>
              <w:t>2. Risks and Issues</w:t>
            </w:r>
          </w:p>
        </w:tc>
      </w:tr>
      <w:tr w:rsidR="00E41AC3" w:rsidRPr="0097513E" w14:paraId="6AE80140" w14:textId="77777777" w:rsidTr="00FF7A71">
        <w:trPr>
          <w:trHeight w:val="317"/>
        </w:trPr>
        <w:tc>
          <w:tcPr>
            <w:tcW w:w="10632" w:type="dxa"/>
            <w:gridSpan w:val="29"/>
            <w:tcBorders>
              <w:top w:val="single" w:sz="4" w:space="0" w:color="ADADAD" w:themeColor="background2" w:themeShade="BF"/>
            </w:tcBorders>
            <w:shd w:val="clear" w:color="auto" w:fill="FFE6BE"/>
          </w:tcPr>
          <w:p w14:paraId="134576B7" w14:textId="4382D1BD" w:rsidR="00E41AC3" w:rsidRPr="0079432F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32F">
              <w:rPr>
                <w:rFonts w:ascii="Arial" w:hAnsi="Arial" w:cs="Arial"/>
                <w:b/>
                <w:bCs/>
                <w:sz w:val="20"/>
                <w:szCs w:val="20"/>
              </w:rPr>
              <w:t>2.1 Key Risks [all red and increasing amber] – something that may happen</w:t>
            </w:r>
          </w:p>
        </w:tc>
      </w:tr>
      <w:tr w:rsidR="00E41AC3" w:rsidRPr="0097513E" w14:paraId="703A0EBB" w14:textId="77777777" w:rsidTr="00923F84">
        <w:trPr>
          <w:trHeight w:hRule="exact" w:val="517"/>
        </w:trPr>
        <w:tc>
          <w:tcPr>
            <w:tcW w:w="851" w:type="dxa"/>
            <w:shd w:val="clear" w:color="auto" w:fill="EAF1F6"/>
            <w:vAlign w:val="center"/>
          </w:tcPr>
          <w:p w14:paraId="25F309BA" w14:textId="67017E62" w:rsidR="00E41AC3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ID</w:t>
            </w:r>
          </w:p>
          <w:p w14:paraId="6BFA3219" w14:textId="54E0DA06" w:rsidR="00E41AC3" w:rsidRPr="00B1592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 w:rsidR="00B7521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/6</w:t>
            </w:r>
            <w:r w:rsidR="0CE5C615"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</w:t>
            </w:r>
            <w:r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186" w:type="dxa"/>
            <w:gridSpan w:val="8"/>
            <w:shd w:val="clear" w:color="auto" w:fill="EAF1F6"/>
            <w:vAlign w:val="center"/>
          </w:tcPr>
          <w:p w14:paraId="472D42A7" w14:textId="3C40E76D" w:rsidR="00E41AC3" w:rsidRPr="00B1592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Title</w:t>
            </w:r>
          </w:p>
        </w:tc>
        <w:tc>
          <w:tcPr>
            <w:tcW w:w="2209" w:type="dxa"/>
            <w:gridSpan w:val="7"/>
            <w:shd w:val="clear" w:color="auto" w:fill="EAF1F6"/>
            <w:vAlign w:val="center"/>
          </w:tcPr>
          <w:p w14:paraId="1C63C189" w14:textId="5FCD6840" w:rsidR="00E41AC3" w:rsidRPr="00B1592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29" w:type="dxa"/>
            <w:gridSpan w:val="2"/>
            <w:shd w:val="clear" w:color="auto" w:fill="EAF1F6"/>
            <w:vAlign w:val="center"/>
          </w:tcPr>
          <w:p w14:paraId="29583048" w14:textId="3C1EBCB6" w:rsidR="00E41AC3" w:rsidRPr="00B1592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519" w:type="dxa"/>
            <w:gridSpan w:val="5"/>
            <w:shd w:val="clear" w:color="auto" w:fill="EAF1F6"/>
            <w:vAlign w:val="center"/>
          </w:tcPr>
          <w:p w14:paraId="4AA9202E" w14:textId="6E4B27F1" w:rsidR="00E41AC3" w:rsidRPr="00B1592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Category</w:t>
            </w:r>
          </w:p>
        </w:tc>
        <w:tc>
          <w:tcPr>
            <w:tcW w:w="1762" w:type="dxa"/>
            <w:gridSpan w:val="5"/>
            <w:shd w:val="clear" w:color="auto" w:fill="EAF1F6"/>
            <w:vAlign w:val="center"/>
          </w:tcPr>
          <w:p w14:paraId="44A9F878" w14:textId="77777777" w:rsidR="00E41AC3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Mitigation</w:t>
            </w:r>
          </w:p>
          <w:p w14:paraId="748383A0" w14:textId="77777777" w:rsidR="001D0E70" w:rsidRDefault="001D0E70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2E4E53" w14:textId="33DCA80A" w:rsidR="00E41AC3" w:rsidRPr="00B1592C" w:rsidRDefault="00E41AC3" w:rsidP="001D0E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AF1F6"/>
            <w:vAlign w:val="center"/>
          </w:tcPr>
          <w:p w14:paraId="4E56FAC3" w14:textId="77777777" w:rsidR="00E41AC3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  <w:p w14:paraId="18B16EF1" w14:textId="77777777" w:rsidR="002F18E2" w:rsidRDefault="002F18E2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4946FB" w14:textId="77777777" w:rsidR="00EF34E6" w:rsidRDefault="00EF34E6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B8ED9B" w14:textId="77777777" w:rsidR="001D0E70" w:rsidRDefault="001D0E70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BE3B77" w14:textId="77777777" w:rsidR="004D2D80" w:rsidRDefault="004D2D80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2F220D" w14:textId="7FA07E54" w:rsidR="00E41AC3" w:rsidRPr="00B1592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F21AE" w:rsidRPr="0097513E" w14:paraId="10533498" w14:textId="77777777" w:rsidTr="00923F84">
        <w:trPr>
          <w:trHeight w:val="4610"/>
        </w:trPr>
        <w:tc>
          <w:tcPr>
            <w:tcW w:w="85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C58119F" w14:textId="57FD930C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29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186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4D095452" w14:textId="63CCE381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Custom House </w:t>
            </w:r>
            <w:r w:rsidRPr="00800E1F">
              <w:rPr>
                <w:rFonts w:ascii="Arial" w:hAnsi="Arial" w:cs="Arial"/>
                <w:sz w:val="18"/>
                <w:szCs w:val="18"/>
              </w:rPr>
              <w:t>Building Owner permissions</w:t>
            </w:r>
            <w:r>
              <w:rPr>
                <w:rFonts w:ascii="Arial" w:hAnsi="Arial" w:cs="Arial"/>
                <w:sz w:val="18"/>
                <w:szCs w:val="18"/>
              </w:rPr>
              <w:t>/Lease</w:t>
            </w:r>
          </w:p>
        </w:tc>
        <w:tc>
          <w:tcPr>
            <w:tcW w:w="2209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2C5ECC83" w14:textId="7969E80D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Building owner may not give permissions for works, current lease does not allow for changes to building</w:t>
            </w:r>
            <w:r w:rsidR="483EA8F6" w:rsidRPr="5396A552">
              <w:rPr>
                <w:rFonts w:ascii="Arial" w:hAnsi="Arial" w:cs="Arial"/>
                <w:sz w:val="18"/>
                <w:szCs w:val="18"/>
              </w:rPr>
              <w:t xml:space="preserve"> without </w:t>
            </w:r>
            <w:r w:rsidRPr="5396A552">
              <w:rPr>
                <w:rFonts w:ascii="Arial" w:hAnsi="Arial" w:cs="Arial"/>
                <w:sz w:val="18"/>
                <w:szCs w:val="18"/>
              </w:rPr>
              <w:t>re</w:t>
            </w:r>
            <w:r w:rsidR="516E3812" w:rsidRPr="5396A552">
              <w:rPr>
                <w:rFonts w:ascii="Arial" w:hAnsi="Arial" w:cs="Arial"/>
                <w:sz w:val="18"/>
                <w:szCs w:val="18"/>
              </w:rPr>
              <w:t>-</w:t>
            </w:r>
            <w:r w:rsidRPr="5396A552">
              <w:rPr>
                <w:rFonts w:ascii="Arial" w:hAnsi="Arial" w:cs="Arial"/>
                <w:sz w:val="18"/>
                <w:szCs w:val="18"/>
              </w:rPr>
              <w:t xml:space="preserve">instatement. </w:t>
            </w:r>
            <w:r w:rsidR="6A1DA716" w:rsidRPr="5396A552">
              <w:rPr>
                <w:rFonts w:ascii="Arial" w:hAnsi="Arial" w:cs="Arial"/>
                <w:sz w:val="18"/>
                <w:szCs w:val="18"/>
              </w:rPr>
              <w:t>Existing l</w:t>
            </w:r>
            <w:r w:rsidRPr="5396A552">
              <w:rPr>
                <w:rFonts w:ascii="Arial" w:hAnsi="Arial" w:cs="Arial"/>
                <w:sz w:val="18"/>
                <w:szCs w:val="18"/>
              </w:rPr>
              <w:t>ease needs to be varied</w:t>
            </w:r>
            <w:r w:rsidR="37329D48" w:rsidRPr="5396A5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B42">
              <w:rPr>
                <w:rFonts w:ascii="Arial" w:hAnsi="Arial" w:cs="Arial"/>
                <w:sz w:val="18"/>
                <w:szCs w:val="18"/>
              </w:rPr>
              <w:t xml:space="preserve">ahead of works starting/contract being let. </w:t>
            </w:r>
          </w:p>
        </w:tc>
        <w:tc>
          <w:tcPr>
            <w:tcW w:w="82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2E658945" w14:textId="4ED478A7" w:rsidR="00E41AC3" w:rsidRPr="0097513E" w:rsidRDefault="00E41AC3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519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B6B8A07" w14:textId="4711BDDC" w:rsidR="00E41AC3" w:rsidRPr="0097513E" w:rsidRDefault="76FBB47E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Legal</w:t>
            </w:r>
          </w:p>
        </w:tc>
        <w:tc>
          <w:tcPr>
            <w:tcW w:w="1762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367040C" w14:textId="13312FAA" w:rsidR="00E41AC3" w:rsidRDefault="22F8C5EF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b/>
                <w:bCs/>
                <w:sz w:val="18"/>
                <w:szCs w:val="18"/>
              </w:rPr>
              <w:t>Risk remains red as despite the mitigations noted below,</w:t>
            </w:r>
            <w:r w:rsidR="002A55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until finalised legally</w:t>
            </w:r>
            <w:r w:rsidRPr="5396A5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this is the highest risk to this project.</w:t>
            </w:r>
            <w:r w:rsidRPr="5396A5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AC3" w:rsidRPr="5396A552">
              <w:rPr>
                <w:rFonts w:ascii="Arial" w:hAnsi="Arial" w:cs="Arial"/>
                <w:sz w:val="18"/>
                <w:szCs w:val="18"/>
              </w:rPr>
              <w:t xml:space="preserve">Ongoing engagement with building owner throughout the project. </w:t>
            </w:r>
            <w:r w:rsidR="332CCD28" w:rsidRPr="5396A552">
              <w:rPr>
                <w:rFonts w:ascii="Arial" w:hAnsi="Arial" w:cs="Arial"/>
                <w:sz w:val="18"/>
                <w:szCs w:val="18"/>
              </w:rPr>
              <w:t>As per lease agreement, o</w:t>
            </w:r>
            <w:r w:rsidR="00E41AC3" w:rsidRPr="5396A552">
              <w:rPr>
                <w:rFonts w:ascii="Arial" w:hAnsi="Arial" w:cs="Arial"/>
                <w:sz w:val="18"/>
                <w:szCs w:val="18"/>
              </w:rPr>
              <w:t>wner</w:t>
            </w:r>
            <w:r w:rsidR="0EE3245A" w:rsidRPr="5396A5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9E5C971" w:rsidRPr="5396A552">
              <w:rPr>
                <w:rFonts w:ascii="Arial" w:hAnsi="Arial" w:cs="Arial"/>
                <w:sz w:val="18"/>
                <w:szCs w:val="18"/>
              </w:rPr>
              <w:t>gave permission</w:t>
            </w:r>
            <w:r w:rsidR="00E41AC3" w:rsidRPr="5396A552">
              <w:rPr>
                <w:rFonts w:ascii="Arial" w:hAnsi="Arial" w:cs="Arial"/>
                <w:sz w:val="18"/>
                <w:szCs w:val="18"/>
              </w:rPr>
              <w:t xml:space="preserve"> prior to submission</w:t>
            </w:r>
            <w:r w:rsidR="121024CE" w:rsidRPr="5396A552">
              <w:rPr>
                <w:rFonts w:ascii="Arial" w:hAnsi="Arial" w:cs="Arial"/>
                <w:sz w:val="18"/>
                <w:szCs w:val="18"/>
              </w:rPr>
              <w:t xml:space="preserve"> of planning application</w:t>
            </w:r>
            <w:r w:rsidR="00E41AC3" w:rsidRPr="5396A55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35A46E" w14:textId="15B0C6F0" w:rsidR="00E41AC3" w:rsidRPr="0097513E" w:rsidRDefault="00E41AC3" w:rsidP="00E41A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Legal and Property teams work</w:t>
            </w:r>
            <w:r w:rsidR="16905F3D" w:rsidRPr="5396A552">
              <w:rPr>
                <w:rFonts w:ascii="Arial" w:hAnsi="Arial" w:cs="Arial"/>
                <w:sz w:val="18"/>
                <w:szCs w:val="18"/>
              </w:rPr>
              <w:t>ing</w:t>
            </w:r>
            <w:r w:rsidRPr="5396A552">
              <w:rPr>
                <w:rFonts w:ascii="Arial" w:hAnsi="Arial" w:cs="Arial"/>
                <w:sz w:val="18"/>
                <w:szCs w:val="18"/>
              </w:rPr>
              <w:t xml:space="preserve"> on lease variation to allow for works. </w:t>
            </w:r>
            <w:r w:rsidR="00C508FA" w:rsidRPr="5396A552">
              <w:rPr>
                <w:rFonts w:ascii="Arial" w:hAnsi="Arial" w:cs="Arial"/>
                <w:sz w:val="18"/>
                <w:szCs w:val="18"/>
              </w:rPr>
              <w:t>Project Officer and Cultural Officer have fed into these discussions to ensure variation</w:t>
            </w:r>
            <w:r w:rsidR="5191DA2F" w:rsidRPr="5396A552">
              <w:rPr>
                <w:rFonts w:ascii="Arial" w:hAnsi="Arial" w:cs="Arial"/>
                <w:sz w:val="18"/>
                <w:szCs w:val="18"/>
              </w:rPr>
              <w:t xml:space="preserve"> is appropriate</w:t>
            </w:r>
            <w:r w:rsidR="5EF268E7" w:rsidRPr="5396A552">
              <w:rPr>
                <w:rFonts w:ascii="Arial" w:hAnsi="Arial" w:cs="Arial"/>
                <w:sz w:val="18"/>
                <w:szCs w:val="18"/>
              </w:rPr>
              <w:t xml:space="preserve"> with</w:t>
            </w:r>
            <w:r w:rsidR="6E4BB1A7" w:rsidRPr="5396A552">
              <w:rPr>
                <w:rFonts w:ascii="Arial" w:hAnsi="Arial" w:cs="Arial"/>
                <w:sz w:val="18"/>
                <w:szCs w:val="18"/>
              </w:rPr>
              <w:t xml:space="preserve"> potential future</w:t>
            </w:r>
            <w:r w:rsidR="5EF268E7" w:rsidRPr="5396A552">
              <w:rPr>
                <w:rFonts w:ascii="Arial" w:hAnsi="Arial" w:cs="Arial"/>
                <w:sz w:val="18"/>
                <w:szCs w:val="18"/>
              </w:rPr>
              <w:t xml:space="preserve"> use</w:t>
            </w:r>
            <w:r w:rsidR="166AF8D6" w:rsidRPr="5396A552">
              <w:rPr>
                <w:rFonts w:ascii="Arial" w:hAnsi="Arial" w:cs="Arial"/>
                <w:sz w:val="18"/>
                <w:szCs w:val="18"/>
              </w:rPr>
              <w:t>s</w:t>
            </w:r>
            <w:r w:rsidR="5EF268E7" w:rsidRPr="5396A552">
              <w:rPr>
                <w:rFonts w:ascii="Arial" w:hAnsi="Arial" w:cs="Arial"/>
                <w:sz w:val="18"/>
                <w:szCs w:val="18"/>
              </w:rPr>
              <w:t>.</w:t>
            </w:r>
            <w:r w:rsidR="002D5B02">
              <w:rPr>
                <w:rFonts w:ascii="Arial" w:hAnsi="Arial" w:cs="Arial"/>
                <w:sz w:val="18"/>
                <w:szCs w:val="18"/>
              </w:rPr>
              <w:t xml:space="preserve"> Building owner </w:t>
            </w:r>
            <w:proofErr w:type="gramStart"/>
            <w:r w:rsidR="002D5B02">
              <w:rPr>
                <w:rFonts w:ascii="Arial" w:hAnsi="Arial" w:cs="Arial"/>
                <w:sz w:val="18"/>
                <w:szCs w:val="18"/>
              </w:rPr>
              <w:t xml:space="preserve">is in </w:t>
            </w:r>
            <w:r w:rsidR="002A55AE">
              <w:rPr>
                <w:rFonts w:ascii="Arial" w:hAnsi="Arial" w:cs="Arial"/>
                <w:sz w:val="18"/>
                <w:szCs w:val="18"/>
              </w:rPr>
              <w:t>agreement</w:t>
            </w:r>
            <w:proofErr w:type="gramEnd"/>
            <w:r w:rsidR="002A55AE">
              <w:rPr>
                <w:rFonts w:ascii="Arial" w:hAnsi="Arial" w:cs="Arial"/>
                <w:sz w:val="18"/>
                <w:szCs w:val="18"/>
              </w:rPr>
              <w:t xml:space="preserve"> with</w:t>
            </w:r>
            <w:r w:rsidR="002D5B02">
              <w:rPr>
                <w:rFonts w:ascii="Arial" w:hAnsi="Arial" w:cs="Arial"/>
                <w:sz w:val="18"/>
                <w:szCs w:val="18"/>
              </w:rPr>
              <w:t xml:space="preserve"> the proposed terms to the </w:t>
            </w:r>
            <w:r w:rsidR="002A55AE">
              <w:rPr>
                <w:rFonts w:ascii="Arial" w:hAnsi="Arial" w:cs="Arial"/>
                <w:sz w:val="18"/>
                <w:szCs w:val="18"/>
              </w:rPr>
              <w:t xml:space="preserve">licence. </w:t>
            </w:r>
          </w:p>
        </w:tc>
        <w:tc>
          <w:tcPr>
            <w:tcW w:w="127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EADE5BD" w14:textId="367E8FEA" w:rsidR="00E41AC3" w:rsidRPr="0097513E" w:rsidRDefault="3D6E0147" w:rsidP="00E41AC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2</w:t>
            </w:r>
            <w:r w:rsidR="009546EA">
              <w:rPr>
                <w:rFonts w:ascii="Arial" w:hAnsi="Arial" w:cs="Arial"/>
                <w:sz w:val="18"/>
                <w:szCs w:val="18"/>
              </w:rPr>
              <w:t>7</w:t>
            </w:r>
            <w:r w:rsidR="00395BB3" w:rsidRPr="427CEEE5">
              <w:rPr>
                <w:rFonts w:ascii="Arial" w:hAnsi="Arial" w:cs="Arial"/>
                <w:sz w:val="18"/>
                <w:szCs w:val="18"/>
              </w:rPr>
              <w:t>.</w:t>
            </w:r>
            <w:r w:rsidR="62470CAC" w:rsidRPr="427CEEE5">
              <w:rPr>
                <w:rFonts w:ascii="Arial" w:hAnsi="Arial" w:cs="Arial"/>
                <w:sz w:val="18"/>
                <w:szCs w:val="18"/>
              </w:rPr>
              <w:t>0</w:t>
            </w:r>
            <w:r w:rsidR="009546EA">
              <w:rPr>
                <w:rFonts w:ascii="Arial" w:hAnsi="Arial" w:cs="Arial"/>
                <w:sz w:val="18"/>
                <w:szCs w:val="18"/>
              </w:rPr>
              <w:t>3</w:t>
            </w:r>
            <w:r w:rsidR="00395BB3" w:rsidRPr="427CEEE5">
              <w:rPr>
                <w:rFonts w:ascii="Arial" w:hAnsi="Arial" w:cs="Arial"/>
                <w:sz w:val="18"/>
                <w:szCs w:val="18"/>
              </w:rPr>
              <w:t>.2</w:t>
            </w:r>
            <w:r w:rsidR="08877B08" w:rsidRPr="427CEEE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F21AE" w14:paraId="358DE8D2" w14:textId="77777777" w:rsidTr="00923F84">
        <w:trPr>
          <w:trHeight w:val="300"/>
        </w:trPr>
        <w:tc>
          <w:tcPr>
            <w:tcW w:w="85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5F4B7B33" w14:textId="4070CE92" w:rsidR="6F1C8AD0" w:rsidRDefault="3E8C80D1" w:rsidP="6F1C8AD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186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7BF5AEC2" w14:textId="58CE5E7B" w:rsidR="6F1C8AD0" w:rsidRDefault="3E8C80D1" w:rsidP="6F1C8AD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Failure to agree lease variation</w:t>
            </w:r>
            <w:r w:rsidR="00F84CCC">
              <w:rPr>
                <w:rFonts w:ascii="Arial" w:hAnsi="Arial" w:cs="Arial"/>
                <w:sz w:val="18"/>
                <w:szCs w:val="18"/>
              </w:rPr>
              <w:t>/Licence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with Building Owner within project timelines. </w:t>
            </w:r>
          </w:p>
        </w:tc>
        <w:tc>
          <w:tcPr>
            <w:tcW w:w="2209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8E5784B" w14:textId="52AE6AE6" w:rsidR="6F1C8AD0" w:rsidRDefault="3E8C80D1" w:rsidP="6F1C8AD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The current lease does not allow for works to the building and needs to be varied. Project timelines are to be in contract by M</w:t>
            </w:r>
            <w:r w:rsidR="00415B29">
              <w:rPr>
                <w:rFonts w:ascii="Arial" w:hAnsi="Arial" w:cs="Arial"/>
                <w:sz w:val="18"/>
                <w:szCs w:val="18"/>
              </w:rPr>
              <w:t xml:space="preserve">ay </w:t>
            </w:r>
            <w:r w:rsidRPr="427CEEE5">
              <w:rPr>
                <w:rFonts w:ascii="Arial" w:hAnsi="Arial" w:cs="Arial"/>
                <w:sz w:val="18"/>
                <w:szCs w:val="18"/>
              </w:rPr>
              <w:t>2026 but the lease variation</w:t>
            </w:r>
            <w:r w:rsidR="00415B29">
              <w:rPr>
                <w:rFonts w:ascii="Arial" w:hAnsi="Arial" w:cs="Arial"/>
                <w:sz w:val="18"/>
                <w:szCs w:val="18"/>
              </w:rPr>
              <w:t>/licence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could take longer than this, delaying the </w:t>
            </w:r>
            <w:r w:rsidRPr="427CEEE5">
              <w:rPr>
                <w:rFonts w:ascii="Arial" w:hAnsi="Arial" w:cs="Arial"/>
                <w:sz w:val="18"/>
                <w:szCs w:val="18"/>
              </w:rPr>
              <w:lastRenderedPageBreak/>
              <w:t xml:space="preserve">tender/contracting process, leading to additional costs. </w:t>
            </w:r>
            <w:r w:rsidR="00415B29">
              <w:rPr>
                <w:rFonts w:ascii="Arial" w:hAnsi="Arial" w:cs="Arial"/>
                <w:sz w:val="18"/>
                <w:szCs w:val="18"/>
              </w:rPr>
              <w:t>S</w:t>
            </w:r>
            <w:r w:rsidR="001152BE">
              <w:rPr>
                <w:rFonts w:ascii="Arial" w:hAnsi="Arial" w:cs="Arial"/>
                <w:sz w:val="18"/>
                <w:szCs w:val="18"/>
              </w:rPr>
              <w:t xml:space="preserve">taff resource issue as the </w:t>
            </w:r>
            <w:r w:rsidR="003F6B95">
              <w:rPr>
                <w:rFonts w:ascii="Arial" w:hAnsi="Arial" w:cs="Arial"/>
                <w:sz w:val="18"/>
                <w:szCs w:val="18"/>
              </w:rPr>
              <w:t xml:space="preserve">Interim </w:t>
            </w:r>
            <w:r w:rsidR="001152BE">
              <w:rPr>
                <w:rFonts w:ascii="Arial" w:hAnsi="Arial" w:cs="Arial"/>
                <w:sz w:val="18"/>
                <w:szCs w:val="18"/>
              </w:rPr>
              <w:t>A</w:t>
            </w:r>
            <w:r w:rsidR="003F6B95">
              <w:rPr>
                <w:rFonts w:ascii="Arial" w:hAnsi="Arial" w:cs="Arial"/>
                <w:sz w:val="18"/>
                <w:szCs w:val="18"/>
              </w:rPr>
              <w:t>D</w:t>
            </w:r>
            <w:r w:rsidR="001152BE">
              <w:rPr>
                <w:rFonts w:ascii="Arial" w:hAnsi="Arial" w:cs="Arial"/>
                <w:sz w:val="18"/>
                <w:szCs w:val="18"/>
              </w:rPr>
              <w:t xml:space="preserve"> for Property </w:t>
            </w:r>
            <w:r w:rsidR="003F6B95">
              <w:rPr>
                <w:rFonts w:ascii="Arial" w:hAnsi="Arial" w:cs="Arial"/>
                <w:sz w:val="18"/>
                <w:szCs w:val="18"/>
              </w:rPr>
              <w:t xml:space="preserve">and Projects who is </w:t>
            </w:r>
            <w:r w:rsidR="001152BE">
              <w:rPr>
                <w:rFonts w:ascii="Arial" w:hAnsi="Arial" w:cs="Arial"/>
                <w:sz w:val="18"/>
                <w:szCs w:val="18"/>
              </w:rPr>
              <w:t xml:space="preserve">leading the discussions is leaving the council at the end of March. </w:t>
            </w:r>
          </w:p>
        </w:tc>
        <w:tc>
          <w:tcPr>
            <w:tcW w:w="82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3B5CC994" w14:textId="6D63A95A" w:rsidR="6F1C8AD0" w:rsidRDefault="3E8C80D1" w:rsidP="6F1C8AD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lastRenderedPageBreak/>
              <w:t>R</w:t>
            </w:r>
          </w:p>
        </w:tc>
        <w:tc>
          <w:tcPr>
            <w:tcW w:w="1519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D9916EB" w14:textId="7FACE515" w:rsidR="6F1C8AD0" w:rsidRDefault="3E8C80D1" w:rsidP="6F1C8AD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Legal</w:t>
            </w:r>
          </w:p>
        </w:tc>
        <w:tc>
          <w:tcPr>
            <w:tcW w:w="1762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2AA5012F" w14:textId="2B102CDF" w:rsidR="00CD253B" w:rsidRDefault="00CD253B" w:rsidP="427CE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b/>
                <w:bCs/>
                <w:sz w:val="18"/>
                <w:szCs w:val="18"/>
              </w:rPr>
              <w:t>Risk remains red as despite the mitigations noted below, this is the highest risk to this project.</w:t>
            </w:r>
          </w:p>
          <w:p w14:paraId="0A3A0B7E" w14:textId="2E5C29FF" w:rsidR="6F1C8AD0" w:rsidRDefault="003B2783" w:rsidP="427CE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Interim </w:t>
            </w:r>
            <w:r w:rsidR="7B7F282E" w:rsidRPr="427CEEE5">
              <w:rPr>
                <w:rFonts w:ascii="Arial" w:hAnsi="Arial" w:cs="Arial"/>
                <w:sz w:val="18"/>
                <w:szCs w:val="18"/>
              </w:rPr>
              <w:t xml:space="preserve">AD for Property and Projects chasing </w:t>
            </w:r>
            <w:r w:rsidR="7B7F282E" w:rsidRPr="427CEEE5">
              <w:rPr>
                <w:rFonts w:ascii="Arial" w:hAnsi="Arial" w:cs="Arial"/>
                <w:sz w:val="18"/>
                <w:szCs w:val="18"/>
              </w:rPr>
              <w:lastRenderedPageBreak/>
              <w:t>building owner</w:t>
            </w:r>
            <w:r w:rsidR="1173BC0D" w:rsidRPr="427CEEE5">
              <w:rPr>
                <w:rFonts w:ascii="Arial" w:hAnsi="Arial" w:cs="Arial"/>
                <w:sz w:val="18"/>
                <w:szCs w:val="18"/>
              </w:rPr>
              <w:t xml:space="preserve"> and representatives</w:t>
            </w:r>
            <w:r w:rsidR="0B207163" w:rsidRPr="427CEEE5">
              <w:rPr>
                <w:rFonts w:ascii="Arial" w:hAnsi="Arial" w:cs="Arial"/>
                <w:sz w:val="18"/>
                <w:szCs w:val="18"/>
              </w:rPr>
              <w:t xml:space="preserve"> to move process along</w:t>
            </w:r>
            <w:r w:rsidR="1173BC0D" w:rsidRPr="427CEEE5">
              <w:rPr>
                <w:rFonts w:ascii="Arial" w:hAnsi="Arial" w:cs="Arial"/>
                <w:sz w:val="18"/>
                <w:szCs w:val="18"/>
              </w:rPr>
              <w:t>.</w:t>
            </w:r>
            <w:r w:rsidR="620090C9" w:rsidRPr="427CEEE5">
              <w:rPr>
                <w:rFonts w:ascii="Arial" w:hAnsi="Arial" w:cs="Arial"/>
                <w:sz w:val="18"/>
                <w:szCs w:val="18"/>
              </w:rPr>
              <w:t xml:space="preserve"> Call with building owner to </w:t>
            </w:r>
            <w:r w:rsidR="004963F1">
              <w:rPr>
                <w:rFonts w:ascii="Arial" w:hAnsi="Arial" w:cs="Arial"/>
                <w:sz w:val="18"/>
                <w:szCs w:val="18"/>
              </w:rPr>
              <w:t>informally re-</w:t>
            </w:r>
            <w:r w:rsidR="620090C9" w:rsidRPr="427CEEE5">
              <w:rPr>
                <w:rFonts w:ascii="Arial" w:hAnsi="Arial" w:cs="Arial"/>
                <w:sz w:val="18"/>
                <w:szCs w:val="18"/>
              </w:rPr>
              <w:t>confirm agreement</w:t>
            </w:r>
            <w:r w:rsidR="004963F1">
              <w:rPr>
                <w:rFonts w:ascii="Arial" w:hAnsi="Arial" w:cs="Arial"/>
                <w:sz w:val="18"/>
                <w:szCs w:val="18"/>
              </w:rPr>
              <w:t xml:space="preserve"> for works verbally</w:t>
            </w:r>
            <w:r w:rsidR="620090C9" w:rsidRPr="427CEEE5">
              <w:rPr>
                <w:rFonts w:ascii="Arial" w:hAnsi="Arial" w:cs="Arial"/>
                <w:sz w:val="18"/>
                <w:szCs w:val="18"/>
              </w:rPr>
              <w:t>.</w:t>
            </w:r>
            <w:r w:rsidR="1173BC0D" w:rsidRPr="427CEEE5">
              <w:rPr>
                <w:rFonts w:ascii="Arial" w:hAnsi="Arial" w:cs="Arial"/>
                <w:sz w:val="18"/>
                <w:szCs w:val="18"/>
              </w:rPr>
              <w:t xml:space="preserve"> Meeting held with owner’s appointed surveyor to discuss the delay</w:t>
            </w:r>
            <w:r w:rsidR="20AA3718" w:rsidRPr="427CEEE5">
              <w:rPr>
                <w:rFonts w:ascii="Arial" w:hAnsi="Arial" w:cs="Arial"/>
                <w:sz w:val="18"/>
                <w:szCs w:val="18"/>
              </w:rPr>
              <w:t xml:space="preserve"> and book in required schedule of condition. </w:t>
            </w:r>
          </w:p>
        </w:tc>
        <w:tc>
          <w:tcPr>
            <w:tcW w:w="127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5096400D" w14:textId="2DC536CB" w:rsidR="6F1C8AD0" w:rsidRDefault="009465FF" w:rsidP="6F1C8AD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546EA">
              <w:rPr>
                <w:rFonts w:ascii="Arial" w:hAnsi="Arial" w:cs="Arial"/>
                <w:sz w:val="18"/>
                <w:szCs w:val="18"/>
              </w:rPr>
              <w:t>7</w:t>
            </w:r>
            <w:r w:rsidR="1173BC0D" w:rsidRPr="427CEEE5">
              <w:rPr>
                <w:rFonts w:ascii="Arial" w:hAnsi="Arial" w:cs="Arial"/>
                <w:sz w:val="18"/>
                <w:szCs w:val="18"/>
              </w:rPr>
              <w:t>.0</w:t>
            </w:r>
            <w:r w:rsidR="009546EA">
              <w:rPr>
                <w:rFonts w:ascii="Arial" w:hAnsi="Arial" w:cs="Arial"/>
                <w:sz w:val="18"/>
                <w:szCs w:val="18"/>
              </w:rPr>
              <w:t>3</w:t>
            </w:r>
            <w:r w:rsidR="1173BC0D" w:rsidRPr="427CEEE5">
              <w:rPr>
                <w:rFonts w:ascii="Arial" w:hAnsi="Arial" w:cs="Arial"/>
                <w:sz w:val="18"/>
                <w:szCs w:val="18"/>
              </w:rPr>
              <w:t>.26</w:t>
            </w:r>
          </w:p>
        </w:tc>
      </w:tr>
      <w:tr w:rsidR="00DF21AE" w14:paraId="1698B71E" w14:textId="77777777" w:rsidTr="00923F84">
        <w:trPr>
          <w:trHeight w:val="300"/>
        </w:trPr>
        <w:tc>
          <w:tcPr>
            <w:tcW w:w="85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54211B5C" w14:textId="1D9B4876" w:rsidR="0398B9D6" w:rsidRDefault="0398B9D6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186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46CC5B72" w14:textId="27F23E70" w:rsidR="0398B9D6" w:rsidRDefault="0398B9D6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 xml:space="preserve">Cabinet approval not given to </w:t>
            </w:r>
            <w:r w:rsidR="00822C29">
              <w:rPr>
                <w:rFonts w:ascii="Arial" w:hAnsi="Arial" w:cs="Arial"/>
                <w:sz w:val="18"/>
                <w:szCs w:val="18"/>
              </w:rPr>
              <w:t>“</w:t>
            </w:r>
            <w:r w:rsidRPr="427CEEE5">
              <w:rPr>
                <w:rFonts w:ascii="Arial" w:hAnsi="Arial" w:cs="Arial"/>
                <w:sz w:val="18"/>
                <w:szCs w:val="18"/>
              </w:rPr>
              <w:t>let</w:t>
            </w:r>
            <w:r w:rsidR="00822C29">
              <w:rPr>
                <w:rFonts w:ascii="Arial" w:hAnsi="Arial" w:cs="Arial"/>
                <w:sz w:val="18"/>
                <w:szCs w:val="18"/>
              </w:rPr>
              <w:t>”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Custom House</w:t>
            </w:r>
            <w:r w:rsidR="5B939732" w:rsidRPr="427CEEE5">
              <w:rPr>
                <w:rFonts w:ascii="Arial" w:hAnsi="Arial" w:cs="Arial"/>
                <w:sz w:val="18"/>
                <w:szCs w:val="18"/>
              </w:rPr>
              <w:t xml:space="preserve"> works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B1A2AB1" w:rsidRPr="427CEEE5">
              <w:rPr>
                <w:rFonts w:ascii="Arial" w:hAnsi="Arial" w:cs="Arial"/>
                <w:sz w:val="18"/>
                <w:szCs w:val="18"/>
              </w:rPr>
              <w:t>c</w:t>
            </w:r>
            <w:r w:rsidRPr="427CEEE5">
              <w:rPr>
                <w:rFonts w:ascii="Arial" w:hAnsi="Arial" w:cs="Arial"/>
                <w:sz w:val="18"/>
                <w:szCs w:val="18"/>
              </w:rPr>
              <w:t>ontract</w:t>
            </w:r>
            <w:r w:rsidR="671282AD" w:rsidRPr="427CEE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09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9CB4A13" w14:textId="4777C71E" w:rsidR="095F649F" w:rsidRDefault="095F649F" w:rsidP="427CE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 xml:space="preserve">Cabinet approval to </w:t>
            </w:r>
            <w:r w:rsidR="00822C29">
              <w:rPr>
                <w:rFonts w:ascii="Arial" w:hAnsi="Arial" w:cs="Arial"/>
                <w:sz w:val="18"/>
                <w:szCs w:val="18"/>
              </w:rPr>
              <w:t>“</w:t>
            </w:r>
            <w:r w:rsidRPr="427CEEE5">
              <w:rPr>
                <w:rFonts w:ascii="Arial" w:hAnsi="Arial" w:cs="Arial"/>
                <w:sz w:val="18"/>
                <w:szCs w:val="18"/>
              </w:rPr>
              <w:t>let</w:t>
            </w:r>
            <w:r w:rsidR="00822C29">
              <w:rPr>
                <w:rFonts w:ascii="Arial" w:hAnsi="Arial" w:cs="Arial"/>
                <w:sz w:val="18"/>
                <w:szCs w:val="18"/>
              </w:rPr>
              <w:t>”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the Custom House contract is not in place</w:t>
            </w:r>
            <w:r w:rsidR="0095606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427CEEE5">
              <w:rPr>
                <w:rFonts w:ascii="Arial" w:hAnsi="Arial" w:cs="Arial"/>
                <w:sz w:val="18"/>
                <w:szCs w:val="18"/>
              </w:rPr>
              <w:t>The next meeting is 23rd April,</w:t>
            </w:r>
            <w:r w:rsidR="009560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27CEEE5">
              <w:rPr>
                <w:rFonts w:ascii="Arial" w:hAnsi="Arial" w:cs="Arial"/>
                <w:sz w:val="18"/>
                <w:szCs w:val="18"/>
              </w:rPr>
              <w:t>the contract cannot be signed until then</w:t>
            </w:r>
            <w:r w:rsidR="00683F31">
              <w:rPr>
                <w:rFonts w:ascii="Arial" w:hAnsi="Arial" w:cs="Arial"/>
                <w:sz w:val="18"/>
                <w:szCs w:val="18"/>
              </w:rPr>
              <w:t xml:space="preserve"> and the following </w:t>
            </w:r>
            <w:r w:rsidR="00B37322">
              <w:rPr>
                <w:rFonts w:ascii="Arial" w:hAnsi="Arial" w:cs="Arial"/>
                <w:sz w:val="18"/>
                <w:szCs w:val="18"/>
              </w:rPr>
              <w:t>“call-in”</w:t>
            </w:r>
            <w:r w:rsidR="00683F31">
              <w:rPr>
                <w:rFonts w:ascii="Arial" w:hAnsi="Arial" w:cs="Arial"/>
                <w:sz w:val="18"/>
                <w:szCs w:val="18"/>
              </w:rPr>
              <w:t xml:space="preserve"> period. </w:t>
            </w:r>
          </w:p>
        </w:tc>
        <w:tc>
          <w:tcPr>
            <w:tcW w:w="82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4A55C852" w14:textId="70C1DD17" w:rsidR="671282AD" w:rsidRDefault="671282AD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0C82CCD" w14:textId="197DFE16" w:rsidR="671282AD" w:rsidRDefault="671282AD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Governance</w:t>
            </w:r>
          </w:p>
        </w:tc>
        <w:tc>
          <w:tcPr>
            <w:tcW w:w="1762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0F3DB75D" w14:textId="34553CAB" w:rsidR="70F143C5" w:rsidRDefault="70F143C5" w:rsidP="427CE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>Cabinet paper to set out project progress and funding allocations</w:t>
            </w:r>
            <w:r w:rsidR="00106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27CEEE5">
              <w:rPr>
                <w:rFonts w:ascii="Arial" w:hAnsi="Arial" w:cs="Arial"/>
                <w:sz w:val="18"/>
                <w:szCs w:val="18"/>
              </w:rPr>
              <w:t>to go through the correct pre cabinet channels.</w:t>
            </w:r>
            <w:r w:rsidR="001C7D01">
              <w:rPr>
                <w:rFonts w:ascii="Arial" w:hAnsi="Arial" w:cs="Arial"/>
                <w:sz w:val="18"/>
                <w:szCs w:val="18"/>
              </w:rPr>
              <w:t xml:space="preserve"> Paper will be taken </w:t>
            </w:r>
            <w:r w:rsidR="00493706">
              <w:rPr>
                <w:rFonts w:ascii="Arial" w:hAnsi="Arial" w:cs="Arial"/>
                <w:sz w:val="18"/>
                <w:szCs w:val="18"/>
              </w:rPr>
              <w:t xml:space="preserve">through </w:t>
            </w:r>
            <w:r w:rsidR="001C7D01">
              <w:rPr>
                <w:rFonts w:ascii="Arial" w:hAnsi="Arial" w:cs="Arial"/>
                <w:sz w:val="18"/>
                <w:szCs w:val="18"/>
              </w:rPr>
              <w:t>th</w:t>
            </w:r>
            <w:r w:rsidR="00A62992">
              <w:rPr>
                <w:rFonts w:ascii="Arial" w:hAnsi="Arial" w:cs="Arial"/>
                <w:sz w:val="18"/>
                <w:szCs w:val="18"/>
              </w:rPr>
              <w:t>e approval channels.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 Project Sponsor and Member to give paper. </w:t>
            </w:r>
          </w:p>
        </w:tc>
        <w:tc>
          <w:tcPr>
            <w:tcW w:w="127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2FE5499B" w14:textId="37D8DF7C" w:rsidR="70F143C5" w:rsidRDefault="005533A8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546EA">
              <w:rPr>
                <w:rFonts w:ascii="Arial" w:hAnsi="Arial" w:cs="Arial"/>
                <w:sz w:val="18"/>
                <w:szCs w:val="18"/>
              </w:rPr>
              <w:t>7</w:t>
            </w:r>
            <w:r w:rsidR="70F143C5" w:rsidRPr="427CEEE5">
              <w:rPr>
                <w:rFonts w:ascii="Arial" w:hAnsi="Arial" w:cs="Arial"/>
                <w:sz w:val="18"/>
                <w:szCs w:val="18"/>
              </w:rPr>
              <w:t>.0</w:t>
            </w:r>
            <w:r w:rsidR="009546EA">
              <w:rPr>
                <w:rFonts w:ascii="Arial" w:hAnsi="Arial" w:cs="Arial"/>
                <w:sz w:val="18"/>
                <w:szCs w:val="18"/>
              </w:rPr>
              <w:t>3</w:t>
            </w:r>
            <w:r w:rsidR="70F143C5" w:rsidRPr="427CEEE5">
              <w:rPr>
                <w:rFonts w:ascii="Arial" w:hAnsi="Arial" w:cs="Arial"/>
                <w:sz w:val="18"/>
                <w:szCs w:val="18"/>
              </w:rPr>
              <w:t>.26</w:t>
            </w:r>
          </w:p>
        </w:tc>
      </w:tr>
      <w:tr w:rsidR="001961AD" w14:paraId="42F24677" w14:textId="77777777" w:rsidTr="00923F84">
        <w:trPr>
          <w:trHeight w:val="300"/>
        </w:trPr>
        <w:tc>
          <w:tcPr>
            <w:tcW w:w="85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7E01E0F" w14:textId="28E2A68F" w:rsidR="001961AD" w:rsidRPr="427CEEE5" w:rsidRDefault="001961AD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186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0BEDD87B" w14:textId="0480ED5C" w:rsidR="001961AD" w:rsidRPr="427CEEE5" w:rsidRDefault="001961AD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Tender responses for Custom House </w:t>
            </w:r>
            <w:r w:rsidR="00FF7A71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orks come in higher than expected. </w:t>
            </w:r>
          </w:p>
        </w:tc>
        <w:tc>
          <w:tcPr>
            <w:tcW w:w="2209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E968E8C" w14:textId="42CCC930" w:rsidR="001961AD" w:rsidRPr="427CEEE5" w:rsidRDefault="001A6128" w:rsidP="427CE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Tender responses to Custom House </w:t>
            </w:r>
            <w:r w:rsidR="00FF7A71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orks package may come in higher than anticipated, resulting in a funding gap</w:t>
            </w:r>
            <w:r w:rsidR="00170393">
              <w:rPr>
                <w:rFonts w:ascii="Arial" w:hAnsi="Arial" w:cs="Arial"/>
                <w:sz w:val="18"/>
                <w:szCs w:val="18"/>
              </w:rPr>
              <w:t xml:space="preserve"> or changes to scope.</w:t>
            </w:r>
          </w:p>
        </w:tc>
        <w:tc>
          <w:tcPr>
            <w:tcW w:w="82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30E75C9D" w14:textId="7A0D31C1" w:rsidR="001961AD" w:rsidRPr="427CEEE5" w:rsidRDefault="002B4886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6D8BF03" w14:textId="220D487A" w:rsidR="001961AD" w:rsidRPr="427CEEE5" w:rsidRDefault="008E00D7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  <w:tc>
          <w:tcPr>
            <w:tcW w:w="1762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424B6F9" w14:textId="11479269" w:rsidR="001961AD" w:rsidRPr="427CEEE5" w:rsidRDefault="00BA3D18" w:rsidP="427CE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Project team </w:t>
            </w:r>
            <w:r w:rsidR="00493706">
              <w:rPr>
                <w:rFonts w:ascii="Arial" w:hAnsi="Arial" w:cs="Arial"/>
                <w:sz w:val="18"/>
                <w:szCs w:val="18"/>
              </w:rPr>
              <w:t>to review</w:t>
            </w:r>
            <w:r w:rsidR="006A12A2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B2760F">
              <w:rPr>
                <w:rFonts w:ascii="Arial" w:hAnsi="Arial" w:cs="Arial"/>
                <w:sz w:val="18"/>
                <w:szCs w:val="18"/>
              </w:rPr>
              <w:t>esponses with Quantity Surveyor</w:t>
            </w:r>
            <w:r w:rsidR="006A12A2">
              <w:rPr>
                <w:rFonts w:ascii="Arial" w:hAnsi="Arial" w:cs="Arial"/>
                <w:sz w:val="18"/>
                <w:szCs w:val="18"/>
              </w:rPr>
              <w:t xml:space="preserve"> and Procurement Officer. </w:t>
            </w:r>
            <w:r w:rsidR="009E7B17">
              <w:rPr>
                <w:rFonts w:ascii="Arial" w:hAnsi="Arial" w:cs="Arial"/>
                <w:sz w:val="18"/>
                <w:szCs w:val="18"/>
              </w:rPr>
              <w:t>Responses due 30 March</w:t>
            </w:r>
            <w:r w:rsidR="00665433">
              <w:rPr>
                <w:rFonts w:ascii="Arial" w:hAnsi="Arial" w:cs="Arial"/>
                <w:sz w:val="18"/>
                <w:szCs w:val="18"/>
              </w:rPr>
              <w:t xml:space="preserve"> 2026</w:t>
            </w:r>
            <w:r w:rsidR="009E7B17">
              <w:rPr>
                <w:rFonts w:ascii="Arial" w:hAnsi="Arial" w:cs="Arial"/>
                <w:sz w:val="18"/>
                <w:szCs w:val="18"/>
              </w:rPr>
              <w:t xml:space="preserve"> and will be reviewed </w:t>
            </w:r>
            <w:r w:rsidR="00483910">
              <w:rPr>
                <w:rFonts w:ascii="Arial" w:hAnsi="Arial" w:cs="Arial"/>
                <w:sz w:val="18"/>
                <w:szCs w:val="18"/>
              </w:rPr>
              <w:t>from 7 April</w:t>
            </w:r>
            <w:r w:rsidR="00665433">
              <w:rPr>
                <w:rFonts w:ascii="Arial" w:hAnsi="Arial" w:cs="Arial"/>
                <w:sz w:val="18"/>
                <w:szCs w:val="18"/>
              </w:rPr>
              <w:t xml:space="preserve"> 2026.</w:t>
            </w:r>
          </w:p>
        </w:tc>
        <w:tc>
          <w:tcPr>
            <w:tcW w:w="127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7F8C42F9" w14:textId="7CBDE2FC" w:rsidR="001961AD" w:rsidRDefault="002B4886" w:rsidP="427CEE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546EA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="009546E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.26</w:t>
            </w:r>
          </w:p>
        </w:tc>
      </w:tr>
      <w:tr w:rsidR="00E41AC3" w:rsidRPr="0097513E" w14:paraId="5990FDEE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431D63F8" w14:textId="77777777" w:rsidR="00E41AC3" w:rsidRPr="00A247E3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1AC3" w:rsidRPr="0097513E" w14:paraId="503D9127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E6BE"/>
          </w:tcPr>
          <w:p w14:paraId="2A6A6F53" w14:textId="77777777" w:rsidR="00E41AC3" w:rsidRPr="00A247E3" w:rsidRDefault="00E41AC3" w:rsidP="00E41A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47E3">
              <w:rPr>
                <w:rFonts w:ascii="Arial" w:hAnsi="Arial" w:cs="Arial"/>
                <w:b/>
                <w:bCs/>
                <w:sz w:val="18"/>
                <w:szCs w:val="18"/>
              </w:rPr>
              <w:t>2.2 Key Issues [all red and increasing amber] – something that has happened</w:t>
            </w:r>
          </w:p>
        </w:tc>
      </w:tr>
      <w:tr w:rsidR="00E41AC3" w:rsidRPr="0097513E" w14:paraId="5B2C9995" w14:textId="77777777" w:rsidTr="00923F84">
        <w:trPr>
          <w:trHeight w:val="754"/>
        </w:trPr>
        <w:tc>
          <w:tcPr>
            <w:tcW w:w="85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64F66260" w14:textId="77777777" w:rsidR="00E41AC3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ID</w:t>
            </w:r>
          </w:p>
          <w:p w14:paraId="5B28FB94" w14:textId="4C2FE745" w:rsidR="00E41AC3" w:rsidRPr="00DC5C9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 w:rsidR="008D25C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/1</w:t>
            </w:r>
            <w:r w:rsidR="0075E107"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</w:t>
            </w:r>
            <w:r w:rsidRPr="427CEE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186" w:type="dxa"/>
            <w:gridSpan w:val="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E483C86" w14:textId="77777777" w:rsidR="00E41AC3" w:rsidRPr="00DC5C9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Title</w:t>
            </w:r>
          </w:p>
        </w:tc>
        <w:tc>
          <w:tcPr>
            <w:tcW w:w="2209" w:type="dxa"/>
            <w:gridSpan w:val="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446BFC4" w14:textId="77777777" w:rsidR="00E41AC3" w:rsidRPr="00DC5C9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29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693788EF" w14:textId="77777777" w:rsidR="00E41AC3" w:rsidRPr="00DC5C9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519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128D24A6" w14:textId="77777777" w:rsidR="00E41AC3" w:rsidRPr="00DC5C9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Type</w:t>
            </w:r>
          </w:p>
        </w:tc>
        <w:tc>
          <w:tcPr>
            <w:tcW w:w="1762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BC3B664" w14:textId="77777777" w:rsidR="00E41AC3" w:rsidRPr="00DC5C9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Resolution Plan</w:t>
            </w:r>
          </w:p>
        </w:tc>
        <w:tc>
          <w:tcPr>
            <w:tcW w:w="1276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2E38FC1C" w14:textId="77777777" w:rsidR="00E41AC3" w:rsidRPr="00DC5C9C" w:rsidRDefault="00E41AC3" w:rsidP="00E41A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</w:tc>
      </w:tr>
      <w:tr w:rsidR="00DF21AE" w14:paraId="7BCBC8A8" w14:textId="77777777" w:rsidTr="00923F84">
        <w:trPr>
          <w:trHeight w:val="300"/>
        </w:trPr>
        <w:tc>
          <w:tcPr>
            <w:tcW w:w="851" w:type="dxa"/>
            <w:tcBorders>
              <w:top w:val="single" w:sz="4" w:space="0" w:color="ADADAD" w:themeColor="background2" w:themeShade="BF"/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3A621237" w14:textId="79DE591E" w:rsidR="00D72FBA" w:rsidRDefault="00D72FBA" w:rsidP="00D72F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29115A3">
              <w:rPr>
                <w:rFonts w:ascii="Arial" w:hAnsi="Arial" w:cs="Arial"/>
                <w:sz w:val="18"/>
                <w:szCs w:val="18"/>
              </w:rPr>
              <w:t>1</w:t>
            </w:r>
            <w:r w:rsidR="004559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86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A3BF033" w14:textId="3D64A20B" w:rsidR="00D72FBA" w:rsidRDefault="00D72FBA" w:rsidP="00D72F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29115A3">
              <w:rPr>
                <w:rFonts w:ascii="Arial" w:hAnsi="Arial" w:cs="Arial"/>
                <w:sz w:val="18"/>
                <w:szCs w:val="18"/>
              </w:rPr>
              <w:t>Available budget refined</w:t>
            </w:r>
          </w:p>
        </w:tc>
        <w:tc>
          <w:tcPr>
            <w:tcW w:w="2209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D3F3F0F" w14:textId="62D47D54" w:rsidR="00D72FBA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Historical accounting error has been identified. After investigation this reduced available budget to less than required for current scheme</w:t>
            </w:r>
            <w:r w:rsidR="00926DD5">
              <w:rPr>
                <w:rFonts w:ascii="Arial" w:hAnsi="Arial" w:cs="Arial"/>
                <w:sz w:val="18"/>
                <w:szCs w:val="18"/>
              </w:rPr>
              <w:t xml:space="preserve">, while this has been resolved the </w:t>
            </w:r>
            <w:r w:rsidR="00926B5F">
              <w:rPr>
                <w:rFonts w:ascii="Arial" w:hAnsi="Arial" w:cs="Arial"/>
                <w:sz w:val="18"/>
                <w:szCs w:val="18"/>
              </w:rPr>
              <w:t xml:space="preserve">budget for interpretation needs to be sought. </w:t>
            </w:r>
          </w:p>
        </w:tc>
        <w:tc>
          <w:tcPr>
            <w:tcW w:w="82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62482363" w14:textId="161EAB03" w:rsidR="00D72FBA" w:rsidRDefault="3DB94833" w:rsidP="00D72F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9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186F770E" w14:textId="704BDB08" w:rsidR="00D72FBA" w:rsidRDefault="2DB98146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218FD42C">
              <w:rPr>
                <w:rFonts w:ascii="Arial" w:hAnsi="Arial" w:cs="Arial"/>
                <w:sz w:val="18"/>
                <w:szCs w:val="18"/>
              </w:rPr>
              <w:t xml:space="preserve">Cost. </w:t>
            </w:r>
          </w:p>
        </w:tc>
        <w:tc>
          <w:tcPr>
            <w:tcW w:w="1762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27ECE918" w14:textId="6FED3AE1" w:rsidR="6F1C8AD0" w:rsidRDefault="6F1C8AD0" w:rsidP="6F1C8AD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F9EA501" w14:textId="33B8ED6D" w:rsidR="00D72FBA" w:rsidRDefault="00926DD5" w:rsidP="427CEEE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Element of i</w:t>
            </w:r>
            <w:r w:rsidR="284AC454" w:rsidRPr="427CEE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ssue remains open. </w:t>
            </w:r>
          </w:p>
          <w:p w14:paraId="3A72586A" w14:textId="203736DC" w:rsidR="00D72FBA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427CEEE5">
              <w:rPr>
                <w:rFonts w:ascii="Arial" w:hAnsi="Arial" w:cs="Arial"/>
                <w:sz w:val="18"/>
                <w:szCs w:val="18"/>
              </w:rPr>
              <w:t xml:space="preserve">An underspend from another project </w:t>
            </w:r>
            <w:r w:rsidR="006A509B">
              <w:rPr>
                <w:rFonts w:ascii="Arial" w:hAnsi="Arial" w:cs="Arial"/>
                <w:sz w:val="18"/>
                <w:szCs w:val="18"/>
              </w:rPr>
              <w:t xml:space="preserve">has been </w:t>
            </w:r>
            <w:r w:rsidRPr="427CEEE5">
              <w:rPr>
                <w:rFonts w:ascii="Arial" w:hAnsi="Arial" w:cs="Arial"/>
                <w:sz w:val="18"/>
                <w:szCs w:val="18"/>
              </w:rPr>
              <w:t xml:space="preserve">redirected </w:t>
            </w:r>
            <w:r w:rsidR="0A2F8906" w:rsidRPr="427CEEE5">
              <w:rPr>
                <w:rFonts w:ascii="Arial" w:hAnsi="Arial" w:cs="Arial"/>
                <w:sz w:val="18"/>
                <w:szCs w:val="18"/>
              </w:rPr>
              <w:t>via a Project Adjustment Request</w:t>
            </w:r>
            <w:r w:rsidR="0024012C">
              <w:rPr>
                <w:rFonts w:ascii="Arial" w:hAnsi="Arial" w:cs="Arial"/>
                <w:sz w:val="18"/>
                <w:szCs w:val="18"/>
              </w:rPr>
              <w:t>, a</w:t>
            </w:r>
            <w:r w:rsidRPr="427CEEE5">
              <w:rPr>
                <w:rFonts w:ascii="Arial" w:hAnsi="Arial" w:cs="Arial"/>
                <w:sz w:val="18"/>
                <w:szCs w:val="18"/>
              </w:rPr>
              <w:t>long with some small areas of value engineering</w:t>
            </w:r>
            <w:r w:rsidR="007E6274">
              <w:rPr>
                <w:rFonts w:ascii="Arial" w:hAnsi="Arial" w:cs="Arial"/>
                <w:sz w:val="18"/>
                <w:szCs w:val="18"/>
              </w:rPr>
              <w:t xml:space="preserve"> has closed the budget gap</w:t>
            </w:r>
            <w:r w:rsidR="00E12A06">
              <w:rPr>
                <w:rFonts w:ascii="Arial" w:hAnsi="Arial" w:cs="Arial"/>
                <w:sz w:val="18"/>
                <w:szCs w:val="18"/>
              </w:rPr>
              <w:t>.</w:t>
            </w:r>
            <w:r w:rsidR="007E6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B5F">
              <w:rPr>
                <w:rFonts w:ascii="Arial" w:hAnsi="Arial" w:cs="Arial"/>
                <w:sz w:val="18"/>
                <w:szCs w:val="18"/>
              </w:rPr>
              <w:t>However,</w:t>
            </w:r>
            <w:r w:rsidR="007E6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5F03263" w:rsidRPr="427CEEE5">
              <w:rPr>
                <w:rFonts w:ascii="Arial" w:hAnsi="Arial" w:cs="Arial"/>
                <w:sz w:val="18"/>
                <w:szCs w:val="18"/>
              </w:rPr>
              <w:t>this</w:t>
            </w:r>
            <w:r w:rsidR="007E6274">
              <w:rPr>
                <w:rFonts w:ascii="Arial" w:hAnsi="Arial" w:cs="Arial"/>
                <w:sz w:val="18"/>
                <w:szCs w:val="18"/>
              </w:rPr>
              <w:t xml:space="preserve"> budget</w:t>
            </w:r>
            <w:r w:rsidR="00E12A06">
              <w:rPr>
                <w:rFonts w:ascii="Arial" w:hAnsi="Arial" w:cs="Arial"/>
                <w:sz w:val="18"/>
                <w:szCs w:val="18"/>
              </w:rPr>
              <w:t xml:space="preserve"> for capital </w:t>
            </w:r>
            <w:r w:rsidR="00E12A06">
              <w:rPr>
                <w:rFonts w:ascii="Arial" w:hAnsi="Arial" w:cs="Arial"/>
                <w:sz w:val="18"/>
                <w:szCs w:val="18"/>
              </w:rPr>
              <w:lastRenderedPageBreak/>
              <w:t>works</w:t>
            </w:r>
            <w:r w:rsidR="15F03263" w:rsidRPr="427CEEE5">
              <w:rPr>
                <w:rFonts w:ascii="Arial" w:hAnsi="Arial" w:cs="Arial"/>
                <w:sz w:val="18"/>
                <w:szCs w:val="18"/>
              </w:rPr>
              <w:t xml:space="preserve"> is not inclusive of</w:t>
            </w:r>
            <w:r w:rsidR="2FF4FBB3" w:rsidRPr="427CEEE5">
              <w:rPr>
                <w:rFonts w:ascii="Arial" w:hAnsi="Arial" w:cs="Arial"/>
                <w:sz w:val="18"/>
                <w:szCs w:val="18"/>
              </w:rPr>
              <w:t xml:space="preserve"> an</w:t>
            </w:r>
            <w:r w:rsidR="15F03263" w:rsidRPr="427CEEE5">
              <w:rPr>
                <w:rFonts w:ascii="Arial" w:hAnsi="Arial" w:cs="Arial"/>
                <w:sz w:val="18"/>
                <w:szCs w:val="18"/>
              </w:rPr>
              <w:t xml:space="preserve"> interpretation</w:t>
            </w:r>
            <w:r w:rsidR="2DD1673F" w:rsidRPr="427CEEE5">
              <w:rPr>
                <w:rFonts w:ascii="Arial" w:hAnsi="Arial" w:cs="Arial"/>
                <w:sz w:val="18"/>
                <w:szCs w:val="18"/>
              </w:rPr>
              <w:t xml:space="preserve"> budget</w:t>
            </w:r>
            <w:r w:rsidR="15F03263" w:rsidRPr="427CEEE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2C42E391" w:rsidRPr="427CEEE5">
              <w:rPr>
                <w:rFonts w:ascii="Arial" w:hAnsi="Arial" w:cs="Arial"/>
                <w:sz w:val="18"/>
                <w:szCs w:val="18"/>
              </w:rPr>
              <w:t xml:space="preserve">Budget for interpretation will have to be sought </w:t>
            </w:r>
            <w:r w:rsidR="1C86AD89" w:rsidRPr="427CEEE5">
              <w:rPr>
                <w:rFonts w:ascii="Arial" w:hAnsi="Arial" w:cs="Arial"/>
                <w:sz w:val="18"/>
                <w:szCs w:val="18"/>
              </w:rPr>
              <w:t>independently</w:t>
            </w:r>
            <w:r w:rsidR="2C42E391" w:rsidRPr="427CEEE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3D12A" w14:textId="511780A5" w:rsidR="00D72FBA" w:rsidRDefault="0023692E" w:rsidP="00D72F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26B5F">
              <w:rPr>
                <w:rFonts w:ascii="Arial" w:hAnsi="Arial" w:cs="Arial"/>
                <w:sz w:val="18"/>
                <w:szCs w:val="18"/>
              </w:rPr>
              <w:t>7</w:t>
            </w:r>
            <w:r w:rsidR="45953B61" w:rsidRPr="427CEEE5">
              <w:rPr>
                <w:rFonts w:ascii="Arial" w:hAnsi="Arial" w:cs="Arial"/>
                <w:sz w:val="18"/>
                <w:szCs w:val="18"/>
              </w:rPr>
              <w:t>.0</w:t>
            </w:r>
            <w:r w:rsidR="00926B5F">
              <w:rPr>
                <w:rFonts w:ascii="Arial" w:hAnsi="Arial" w:cs="Arial"/>
                <w:sz w:val="18"/>
                <w:szCs w:val="18"/>
              </w:rPr>
              <w:t>3</w:t>
            </w:r>
            <w:r w:rsidR="45953B61" w:rsidRPr="427CEEE5">
              <w:rPr>
                <w:rFonts w:ascii="Arial" w:hAnsi="Arial" w:cs="Arial"/>
                <w:sz w:val="18"/>
                <w:szCs w:val="18"/>
              </w:rPr>
              <w:t>.</w:t>
            </w:r>
            <w:r w:rsidR="00D72FBA" w:rsidRPr="427CEEE5">
              <w:rPr>
                <w:rFonts w:ascii="Arial" w:hAnsi="Arial" w:cs="Arial"/>
                <w:sz w:val="18"/>
                <w:szCs w:val="18"/>
              </w:rPr>
              <w:t>2</w:t>
            </w:r>
            <w:r w:rsidR="651B4D7F" w:rsidRPr="427CEEE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72FBA" w:rsidRPr="0097513E" w14:paraId="00EE6B13" w14:textId="77777777" w:rsidTr="00FF7A71">
        <w:tc>
          <w:tcPr>
            <w:tcW w:w="10632" w:type="dxa"/>
            <w:gridSpan w:val="29"/>
            <w:tcBorders>
              <w:top w:val="single" w:sz="4" w:space="0" w:color="auto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4A3C289A" w14:textId="26667218" w:rsidR="002E54B5" w:rsidRPr="00602857" w:rsidRDefault="002E54B5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A1F0F" w:rsidRPr="0097513E" w14:paraId="7DE00E37" w14:textId="77777777" w:rsidTr="00FF7A71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285B0E5" w14:textId="73873E1A" w:rsidR="00CA1F0F" w:rsidRPr="00602857" w:rsidRDefault="00CA1F0F" w:rsidP="00D72F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02857">
              <w:rPr>
                <w:rFonts w:ascii="Arial" w:hAnsi="Arial" w:cs="Arial"/>
                <w:b/>
                <w:bCs/>
              </w:rPr>
              <w:t>3.1 Project Financials</w:t>
            </w:r>
          </w:p>
        </w:tc>
      </w:tr>
      <w:tr w:rsidR="00D72FBA" w:rsidRPr="0097513E" w14:paraId="17E5D53F" w14:textId="77777777" w:rsidTr="00616669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FE4CEFE" w14:textId="447B5315" w:rsidR="00D72FBA" w:rsidRPr="0097513E" w:rsidRDefault="00616669" w:rsidP="29982826">
            <w:pPr>
              <w:tabs>
                <w:tab w:val="left" w:pos="1740"/>
              </w:tabs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4A2F2558" wp14:editId="0DB87D35">
                  <wp:extent cx="6614160" cy="4338320"/>
                  <wp:effectExtent l="0" t="0" r="15240" b="5080"/>
                  <wp:docPr id="95561119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BF86CB-E427-4447-89D1-672BDBF167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72FBA" w:rsidRPr="0097513E" w14:paraId="2A7F0F6F" w14:textId="77777777" w:rsidTr="003F1FAB">
        <w:tc>
          <w:tcPr>
            <w:tcW w:w="1418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73285BC" w14:textId="77777777" w:rsidR="006F5675" w:rsidRPr="0097513E" w:rsidRDefault="006F5675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2A4F1D8" w14:textId="77777777" w:rsidR="00D72FBA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E601EAD" w14:textId="77777777" w:rsidR="00060141" w:rsidRDefault="00060141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F92E30" w14:textId="77777777" w:rsidR="00060141" w:rsidRDefault="00060141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84171D0" w14:textId="77777777" w:rsidR="00060141" w:rsidRPr="0097513E" w:rsidRDefault="00060141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gridSpan w:val="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1B7FD59" w14:textId="37D1246A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FBA" w:rsidRPr="0097513E" w14:paraId="730B31A6" w14:textId="77777777" w:rsidTr="004D79B4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18D65F1A" w14:textId="4ADAC528" w:rsidR="00D72FBA" w:rsidRPr="00602857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857">
              <w:rPr>
                <w:rFonts w:ascii="Arial" w:hAnsi="Arial" w:cs="Arial"/>
                <w:b/>
                <w:bCs/>
              </w:rPr>
              <w:t>3.2 Financial Commentary</w:t>
            </w:r>
          </w:p>
        </w:tc>
      </w:tr>
      <w:tr w:rsidR="00D72FBA" w:rsidRPr="0097513E" w14:paraId="1A560762" w14:textId="77777777" w:rsidTr="004D79B4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515BB5B" w14:textId="11D712B4" w:rsidR="002F1F04" w:rsidRDefault="0017306F" w:rsidP="002F1F0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</w:t>
            </w:r>
            <w:r w:rsidR="002F1F04" w:rsidRPr="002F1F04">
              <w:rPr>
                <w:rFonts w:ascii="Arial" w:hAnsi="Arial" w:cs="Arial"/>
                <w:sz w:val="18"/>
                <w:szCs w:val="18"/>
              </w:rPr>
              <w:t xml:space="preserve">inancials </w:t>
            </w:r>
            <w:r>
              <w:rPr>
                <w:rFonts w:ascii="Arial" w:hAnsi="Arial" w:cs="Arial"/>
                <w:sz w:val="18"/>
                <w:szCs w:val="18"/>
              </w:rPr>
              <w:t xml:space="preserve">RAG rating is </w:t>
            </w:r>
            <w:r w:rsidR="002F1F04" w:rsidRPr="002F1F04">
              <w:rPr>
                <w:rFonts w:ascii="Arial" w:hAnsi="Arial" w:cs="Arial"/>
                <w:sz w:val="18"/>
                <w:szCs w:val="18"/>
              </w:rPr>
              <w:t>maintained at AMBER </w:t>
            </w:r>
          </w:p>
          <w:p w14:paraId="3DC727DA" w14:textId="398EAA5D" w:rsidR="006A2C16" w:rsidRDefault="002F1F04" w:rsidP="002F1F04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Actuals to date are £1.</w:t>
            </w:r>
            <w:r w:rsidR="00DF53AB">
              <w:rPr>
                <w:rFonts w:ascii="Arial" w:hAnsi="Arial" w:cs="Arial"/>
                <w:sz w:val="18"/>
                <w:szCs w:val="18"/>
              </w:rPr>
              <w:t>22</w:t>
            </w:r>
            <w:r w:rsidRPr="5396A552">
              <w:rPr>
                <w:rFonts w:ascii="Arial" w:hAnsi="Arial" w:cs="Arial"/>
                <w:sz w:val="18"/>
                <w:szCs w:val="18"/>
              </w:rPr>
              <w:t xml:space="preserve">m against an overall </w:t>
            </w:r>
            <w:r w:rsidR="00385695">
              <w:rPr>
                <w:rFonts w:ascii="Arial" w:hAnsi="Arial" w:cs="Arial"/>
                <w:sz w:val="18"/>
                <w:szCs w:val="18"/>
              </w:rPr>
              <w:t xml:space="preserve">forecasted </w:t>
            </w:r>
            <w:r w:rsidR="005A6197">
              <w:rPr>
                <w:rFonts w:ascii="Arial" w:hAnsi="Arial" w:cs="Arial"/>
                <w:sz w:val="18"/>
                <w:szCs w:val="18"/>
              </w:rPr>
              <w:t>p</w:t>
            </w:r>
            <w:r w:rsidR="00385695">
              <w:rPr>
                <w:rFonts w:ascii="Arial" w:hAnsi="Arial" w:cs="Arial"/>
                <w:sz w:val="18"/>
                <w:szCs w:val="18"/>
              </w:rPr>
              <w:t xml:space="preserve">rojected </w:t>
            </w:r>
            <w:r w:rsidR="005A6197">
              <w:rPr>
                <w:rFonts w:ascii="Arial" w:hAnsi="Arial" w:cs="Arial"/>
                <w:sz w:val="18"/>
                <w:szCs w:val="18"/>
              </w:rPr>
              <w:t>co</w:t>
            </w:r>
            <w:r w:rsidR="00742E99">
              <w:rPr>
                <w:rFonts w:ascii="Arial" w:hAnsi="Arial" w:cs="Arial"/>
                <w:sz w:val="18"/>
                <w:szCs w:val="18"/>
              </w:rPr>
              <w:t xml:space="preserve">sts of £3.2m and a </w:t>
            </w:r>
            <w:r w:rsidRPr="5396A552">
              <w:rPr>
                <w:rFonts w:ascii="Arial" w:hAnsi="Arial" w:cs="Arial"/>
                <w:sz w:val="18"/>
                <w:szCs w:val="18"/>
              </w:rPr>
              <w:t>budget of £</w:t>
            </w:r>
            <w:r w:rsidR="00764349">
              <w:rPr>
                <w:rFonts w:ascii="Arial" w:hAnsi="Arial" w:cs="Arial"/>
                <w:sz w:val="18"/>
                <w:szCs w:val="18"/>
              </w:rPr>
              <w:t>3.2</w:t>
            </w:r>
            <w:r w:rsidRPr="5396A552">
              <w:rPr>
                <w:rFonts w:ascii="Arial" w:hAnsi="Arial" w:cs="Arial"/>
                <w:sz w:val="18"/>
                <w:szCs w:val="18"/>
              </w:rPr>
              <w:t>m</w:t>
            </w:r>
            <w:r w:rsidR="005C10C4">
              <w:rPr>
                <w:rFonts w:ascii="Arial" w:hAnsi="Arial" w:cs="Arial"/>
                <w:sz w:val="18"/>
                <w:szCs w:val="18"/>
              </w:rPr>
              <w:t xml:space="preserve"> and on budget</w:t>
            </w:r>
            <w:r w:rsidR="008928E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2C0204" w14:textId="5E3DA6B3" w:rsidR="005C10C4" w:rsidRPr="006F67FB" w:rsidRDefault="004519CB" w:rsidP="006F67FB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Contingency of circa 10% is included within the £3.2m </w:t>
            </w:r>
            <w:r w:rsidR="00D477AD">
              <w:rPr>
                <w:rFonts w:ascii="Arial" w:hAnsi="Arial" w:cs="Arial"/>
                <w:sz w:val="18"/>
                <w:szCs w:val="18"/>
              </w:rPr>
              <w:t>of £0.3m</w:t>
            </w:r>
            <w:r w:rsidR="00F230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79B4" w:rsidRPr="0097513E" w14:paraId="639132CA" w14:textId="77777777" w:rsidTr="004D79B4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B09D731" w14:textId="77777777" w:rsidR="004D79B4" w:rsidRDefault="004D79B4" w:rsidP="002F1F0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2FBA" w:rsidRPr="0097513E" w14:paraId="4F28EB58" w14:textId="77777777" w:rsidTr="004D79B4">
        <w:tc>
          <w:tcPr>
            <w:tcW w:w="10632" w:type="dxa"/>
            <w:gridSpan w:val="29"/>
            <w:tcBorders>
              <w:top w:val="single" w:sz="4" w:space="0" w:color="ADADAD" w:themeColor="background2" w:themeShade="BF"/>
              <w:bottom w:val="nil"/>
            </w:tcBorders>
            <w:shd w:val="clear" w:color="auto" w:fill="EAF1F6"/>
          </w:tcPr>
          <w:p w14:paraId="7226A22F" w14:textId="09AEE0D3" w:rsidR="00D72FBA" w:rsidRPr="00536F48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F48">
              <w:rPr>
                <w:rFonts w:ascii="Arial" w:hAnsi="Arial" w:cs="Arial"/>
                <w:b/>
                <w:bCs/>
              </w:rPr>
              <w:t>3.3 Project Contingency and Change Control</w:t>
            </w:r>
          </w:p>
        </w:tc>
      </w:tr>
      <w:tr w:rsidR="00D72FBA" w:rsidRPr="0097513E" w14:paraId="4240F34B" w14:textId="77777777" w:rsidTr="004D79B4">
        <w:tc>
          <w:tcPr>
            <w:tcW w:w="974" w:type="dxa"/>
            <w:gridSpan w:val="2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5446C928" w14:textId="52CEFB2B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Change Ref</w:t>
            </w:r>
          </w:p>
        </w:tc>
        <w:tc>
          <w:tcPr>
            <w:tcW w:w="1006" w:type="dxa"/>
            <w:gridSpan w:val="4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3ADB7990" w14:textId="33DE0813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67" w:type="dxa"/>
            <w:gridSpan w:val="2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47B5B8C8" w14:textId="370F62A8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Cost Impact</w:t>
            </w:r>
          </w:p>
        </w:tc>
        <w:tc>
          <w:tcPr>
            <w:tcW w:w="1853" w:type="dxa"/>
            <w:gridSpan w:val="5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026823E0" w14:textId="42798036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Programme Impact</w:t>
            </w:r>
          </w:p>
        </w:tc>
        <w:tc>
          <w:tcPr>
            <w:tcW w:w="1241" w:type="dxa"/>
            <w:gridSpan w:val="4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2C216A12" w14:textId="6BAFDE10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Other Impact</w:t>
            </w:r>
          </w:p>
        </w:tc>
        <w:tc>
          <w:tcPr>
            <w:tcW w:w="1329" w:type="dxa"/>
            <w:gridSpan w:val="4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780B8789" w14:textId="6B8280CD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967" w:type="dxa"/>
            <w:gridSpan w:val="4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3908E0AB" w14:textId="45CD242F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Approval given by</w:t>
            </w:r>
          </w:p>
        </w:tc>
        <w:tc>
          <w:tcPr>
            <w:tcW w:w="2295" w:type="dxa"/>
            <w:gridSpan w:val="4"/>
            <w:tcBorders>
              <w:top w:val="nil"/>
              <w:bottom w:val="single" w:sz="4" w:space="0" w:color="ADADAD" w:themeColor="background2" w:themeShade="BF"/>
            </w:tcBorders>
            <w:shd w:val="clear" w:color="auto" w:fill="EBF2F8"/>
          </w:tcPr>
          <w:p w14:paraId="2DC38E90" w14:textId="03DC4A1D" w:rsidR="00D72FBA" w:rsidRPr="00924842" w:rsidRDefault="00D72FBA" w:rsidP="00D72F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Date of change</w:t>
            </w:r>
          </w:p>
        </w:tc>
      </w:tr>
      <w:tr w:rsidR="00D72FBA" w:rsidRPr="0097513E" w14:paraId="4D171983" w14:textId="77777777" w:rsidTr="00FF7A71">
        <w:tc>
          <w:tcPr>
            <w:tcW w:w="974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658A443" w14:textId="77777777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105E448" w14:textId="39437560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67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66A421B" w14:textId="77777777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F2E7161" w14:textId="41445B2A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11C276B" w14:textId="77777777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C59A6B5" w14:textId="6675D292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5EC85B3" w14:textId="77777777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6C34ABD" w14:textId="654A7EBA" w:rsidR="00D72FBA" w:rsidRPr="0097513E" w:rsidRDefault="00D72FBA" w:rsidP="00D72F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07C256" w14:textId="77777777" w:rsidR="000F758F" w:rsidRDefault="000F758F">
      <w:pPr>
        <w:rPr>
          <w:rFonts w:ascii="Arial" w:hAnsi="Arial" w:cs="Arial"/>
          <w:sz w:val="18"/>
          <w:szCs w:val="18"/>
        </w:rPr>
      </w:pPr>
    </w:p>
    <w:p w14:paraId="3D226E20" w14:textId="77777777" w:rsidR="006F67FB" w:rsidRDefault="006F67FB">
      <w:pPr>
        <w:rPr>
          <w:rFonts w:ascii="Arial" w:hAnsi="Arial" w:cs="Arial"/>
          <w:sz w:val="18"/>
          <w:szCs w:val="18"/>
        </w:rPr>
      </w:pPr>
    </w:p>
    <w:p w14:paraId="0A3E8D2F" w14:textId="77777777" w:rsidR="006F67FB" w:rsidRPr="006F5675" w:rsidRDefault="006F67F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32" w:type="dxa"/>
        <w:tblInd w:w="-856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6" w:space="0" w:color="ADADAD" w:themeColor="background2" w:themeShade="BF"/>
          <w:insideV w:val="single" w:sz="6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53"/>
        <w:gridCol w:w="468"/>
        <w:gridCol w:w="704"/>
        <w:gridCol w:w="1173"/>
        <w:gridCol w:w="307"/>
        <w:gridCol w:w="337"/>
        <w:gridCol w:w="528"/>
        <w:gridCol w:w="1094"/>
        <w:gridCol w:w="80"/>
        <w:gridCol w:w="1243"/>
        <w:gridCol w:w="384"/>
        <w:gridCol w:w="789"/>
        <w:gridCol w:w="1013"/>
        <w:gridCol w:w="159"/>
        <w:gridCol w:w="1172"/>
        <w:gridCol w:w="7"/>
      </w:tblGrid>
      <w:tr w:rsidR="004A2D6D" w:rsidRPr="0097513E" w14:paraId="659ED734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44E299B" w14:textId="2D45FBCD" w:rsidR="004A2D6D" w:rsidRPr="00761004" w:rsidRDefault="0084677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771">
              <w:rPr>
                <w:rFonts w:ascii="Arial" w:hAnsi="Arial" w:cs="Arial"/>
                <w:b/>
                <w:bCs/>
              </w:rPr>
              <w:lastRenderedPageBreak/>
              <w:t xml:space="preserve">4. </w:t>
            </w:r>
            <w:r w:rsidR="004F46EE" w:rsidRPr="00761004">
              <w:rPr>
                <w:rFonts w:ascii="Arial" w:hAnsi="Arial" w:cs="Arial"/>
                <w:b/>
                <w:bCs/>
              </w:rPr>
              <w:t>Timelines – High Level Milestones</w:t>
            </w:r>
          </w:p>
        </w:tc>
      </w:tr>
      <w:tr w:rsidR="004F46EE" w:rsidRPr="0097513E" w14:paraId="1A7EE6A5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135DD7D" w14:textId="64CA2CD7" w:rsidR="004F46EE" w:rsidRPr="0097513E" w:rsidRDefault="00DD6730" w:rsidP="6F1C8AD0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3B273163" wp14:editId="699E716A">
                  <wp:extent cx="6609715" cy="3578860"/>
                  <wp:effectExtent l="0" t="0" r="635" b="2540"/>
                  <wp:docPr id="974882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8219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9715" cy="357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530" w:rsidRPr="0097513E" w14:paraId="1BB1BA47" w14:textId="77777777" w:rsidTr="00647C58">
        <w:trPr>
          <w:gridAfter w:val="1"/>
          <w:wAfter w:w="7" w:type="dxa"/>
        </w:trPr>
        <w:tc>
          <w:tcPr>
            <w:tcW w:w="1642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1630071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E14A0E1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86CA990" w14:textId="47D3CD18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7A0" w:rsidRPr="0097513E" w14:paraId="503F1408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63C9D00B" w14:textId="4CB567B6" w:rsidR="009C67A0" w:rsidRPr="0034615D" w:rsidRDefault="00532B3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15D">
              <w:rPr>
                <w:rFonts w:ascii="Arial" w:hAnsi="Arial" w:cs="Arial"/>
                <w:b/>
                <w:bCs/>
              </w:rPr>
              <w:t>4.1 Timelines Commentary</w:t>
            </w:r>
          </w:p>
        </w:tc>
      </w:tr>
      <w:tr w:rsidR="00532B31" w:rsidRPr="0097513E" w14:paraId="6C1E7312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557F360" w14:textId="0F895954" w:rsidR="002C6236" w:rsidRPr="002F1F04" w:rsidRDefault="000B0904" w:rsidP="002C6236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C6236">
              <w:rPr>
                <w:rFonts w:ascii="Arial" w:hAnsi="Arial" w:cs="Arial"/>
                <w:sz w:val="18"/>
                <w:szCs w:val="18"/>
              </w:rPr>
              <w:t>Timelines</w:t>
            </w:r>
            <w:r w:rsidR="002C6236" w:rsidRPr="002F1F0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RAG rating is</w:t>
            </w:r>
            <w:r w:rsidR="002C6236" w:rsidRPr="002F1F04">
              <w:rPr>
                <w:rFonts w:ascii="Arial" w:hAnsi="Arial" w:cs="Arial"/>
                <w:sz w:val="18"/>
                <w:szCs w:val="18"/>
              </w:rPr>
              <w:t> maintained at AMBER </w:t>
            </w:r>
          </w:p>
          <w:p w14:paraId="0CA6EF0B" w14:textId="4E7690DE" w:rsidR="00DD75A8" w:rsidRPr="008B5C23" w:rsidRDefault="00DD75A8" w:rsidP="00DD75A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B5C23">
              <w:rPr>
                <w:rFonts w:ascii="Arial" w:hAnsi="Arial" w:cs="Arial"/>
                <w:sz w:val="18"/>
                <w:szCs w:val="18"/>
              </w:rPr>
              <w:t xml:space="preserve">Timelines reprofiled with the new design team have been split into 2 separate work streams, </w:t>
            </w:r>
          </w:p>
          <w:p w14:paraId="7B2D1E88" w14:textId="762DD4F7" w:rsidR="00DD75A8" w:rsidRPr="008B5C23" w:rsidRDefault="00DD75A8" w:rsidP="00DD75A8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B5C23">
              <w:rPr>
                <w:rFonts w:ascii="Arial" w:hAnsi="Arial" w:cs="Arial"/>
                <w:sz w:val="18"/>
                <w:szCs w:val="18"/>
              </w:rPr>
              <w:t xml:space="preserve">Custom House/Purfleet Quay  </w:t>
            </w:r>
          </w:p>
          <w:p w14:paraId="0CF947B0" w14:textId="77777777" w:rsidR="00DD75A8" w:rsidRPr="008B5C23" w:rsidRDefault="00DD75A8" w:rsidP="00DD75A8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B5C23">
              <w:rPr>
                <w:rFonts w:ascii="Arial" w:hAnsi="Arial" w:cs="Arial"/>
                <w:sz w:val="18"/>
                <w:szCs w:val="18"/>
              </w:rPr>
              <w:t xml:space="preserve">Dryside Facilities. </w:t>
            </w:r>
          </w:p>
          <w:p w14:paraId="523FDD37" w14:textId="0FB8E3E4" w:rsidR="00DD75A8" w:rsidRPr="008B5C23" w:rsidRDefault="143662CD" w:rsidP="00DD75A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sz w:val="18"/>
                <w:szCs w:val="18"/>
              </w:rPr>
              <w:t>Confidence remains that the programme is achievable</w:t>
            </w:r>
            <w:r w:rsidR="4E1BDDD7" w:rsidRPr="6F1C8AD0">
              <w:rPr>
                <w:rFonts w:ascii="Arial" w:hAnsi="Arial" w:cs="Arial"/>
                <w:sz w:val="18"/>
                <w:szCs w:val="18"/>
              </w:rPr>
              <w:t xml:space="preserve"> with minor delays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50EAF">
              <w:rPr>
                <w:rFonts w:ascii="Arial" w:hAnsi="Arial" w:cs="Arial"/>
                <w:sz w:val="18"/>
                <w:szCs w:val="18"/>
              </w:rPr>
              <w:t>Focus remain</w:t>
            </w:r>
            <w:r w:rsidR="000B704D">
              <w:rPr>
                <w:rFonts w:ascii="Arial" w:hAnsi="Arial" w:cs="Arial"/>
                <w:sz w:val="18"/>
                <w:szCs w:val="18"/>
              </w:rPr>
              <w:t xml:space="preserve">s to </w:t>
            </w:r>
            <w:r w:rsidR="000B704D" w:rsidRPr="6F1C8AD0">
              <w:rPr>
                <w:rFonts w:ascii="Arial" w:hAnsi="Arial" w:cs="Arial"/>
                <w:sz w:val="18"/>
                <w:szCs w:val="18"/>
              </w:rPr>
              <w:t>stick to the original programme as much as possible</w:t>
            </w:r>
            <w:r w:rsidR="00035E0B">
              <w:rPr>
                <w:rFonts w:ascii="Arial" w:hAnsi="Arial" w:cs="Arial"/>
                <w:sz w:val="18"/>
                <w:szCs w:val="18"/>
              </w:rPr>
              <w:t xml:space="preserve"> despite the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lifting of the March 2026 spend deadline from MHCLG</w:t>
            </w:r>
            <w:r w:rsidR="008633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9E527D" w14:textId="7800CA1B" w:rsidR="00532B31" w:rsidRPr="00E07C37" w:rsidRDefault="14C5B5AA" w:rsidP="00DD75A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sz w:val="18"/>
                <w:szCs w:val="18"/>
              </w:rPr>
              <w:t>Current area</w:t>
            </w:r>
            <w:r w:rsidR="1036AC45" w:rsidRPr="6F1C8AD0">
              <w:rPr>
                <w:rFonts w:ascii="Arial" w:hAnsi="Arial" w:cs="Arial"/>
                <w:sz w:val="18"/>
                <w:szCs w:val="18"/>
              </w:rPr>
              <w:t>s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of risk </w:t>
            </w:r>
            <w:r w:rsidR="60A6635B" w:rsidRPr="6F1C8AD0">
              <w:rPr>
                <w:rFonts w:ascii="Arial" w:hAnsi="Arial" w:cs="Arial"/>
                <w:sz w:val="18"/>
                <w:szCs w:val="18"/>
              </w:rPr>
              <w:t>include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Cabinet </w:t>
            </w:r>
            <w:r w:rsidR="25B630B6" w:rsidRPr="6F1C8AD0">
              <w:rPr>
                <w:rFonts w:ascii="Arial" w:hAnsi="Arial" w:cs="Arial"/>
                <w:sz w:val="18"/>
                <w:szCs w:val="18"/>
              </w:rPr>
              <w:t>a</w:t>
            </w:r>
            <w:r w:rsidRPr="6F1C8AD0">
              <w:rPr>
                <w:rFonts w:ascii="Arial" w:hAnsi="Arial" w:cs="Arial"/>
                <w:sz w:val="18"/>
                <w:szCs w:val="18"/>
              </w:rPr>
              <w:t>pproval processes</w:t>
            </w:r>
            <w:r w:rsidR="7FDBD8BB" w:rsidRPr="6F1C8AD0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="00462234">
              <w:rPr>
                <w:rFonts w:ascii="Arial" w:hAnsi="Arial" w:cs="Arial"/>
                <w:sz w:val="18"/>
                <w:szCs w:val="18"/>
              </w:rPr>
              <w:t>”</w:t>
            </w:r>
            <w:r w:rsidR="7FDBD8BB" w:rsidRPr="6F1C8AD0">
              <w:rPr>
                <w:rFonts w:ascii="Arial" w:hAnsi="Arial" w:cs="Arial"/>
                <w:sz w:val="18"/>
                <w:szCs w:val="18"/>
              </w:rPr>
              <w:t xml:space="preserve"> let</w:t>
            </w:r>
            <w:r w:rsidR="00462234">
              <w:rPr>
                <w:rFonts w:ascii="Arial" w:hAnsi="Arial" w:cs="Arial"/>
                <w:sz w:val="18"/>
                <w:szCs w:val="18"/>
              </w:rPr>
              <w:t xml:space="preserve">” the </w:t>
            </w:r>
            <w:r w:rsidR="7FDBD8BB" w:rsidRPr="6F1C8AD0">
              <w:rPr>
                <w:rFonts w:ascii="Arial" w:hAnsi="Arial" w:cs="Arial"/>
                <w:sz w:val="18"/>
                <w:szCs w:val="18"/>
              </w:rPr>
              <w:t>contract</w:t>
            </w:r>
            <w:r w:rsidR="0FBADF32" w:rsidRPr="6F1C8AD0">
              <w:rPr>
                <w:rFonts w:ascii="Arial" w:hAnsi="Arial" w:cs="Arial"/>
                <w:sz w:val="18"/>
                <w:szCs w:val="18"/>
              </w:rPr>
              <w:t>,</w:t>
            </w:r>
            <w:r w:rsidR="33573544" w:rsidRPr="6F1C8AD0">
              <w:rPr>
                <w:rFonts w:ascii="Arial" w:hAnsi="Arial" w:cs="Arial"/>
                <w:sz w:val="18"/>
                <w:szCs w:val="18"/>
              </w:rPr>
              <w:t xml:space="preserve"> timescale for licence to carry out works being granted from building owner,</w:t>
            </w:r>
            <w:r w:rsidR="148F69AA" w:rsidRPr="6F1C8AD0">
              <w:rPr>
                <w:rFonts w:ascii="Arial" w:hAnsi="Arial" w:cs="Arial"/>
                <w:sz w:val="18"/>
                <w:szCs w:val="18"/>
              </w:rPr>
              <w:t xml:space="preserve"> tender process and unforeseen issues during the construction phase.</w:t>
            </w:r>
          </w:p>
          <w:p w14:paraId="79DB4622" w14:textId="03CA8823" w:rsidR="00532B31" w:rsidRPr="00E07C37" w:rsidRDefault="007911DA" w:rsidP="00DD75A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he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59F65632" w:rsidRPr="6F1C8AD0">
              <w:rPr>
                <w:rFonts w:ascii="Arial" w:hAnsi="Arial" w:cs="Arial"/>
                <w:sz w:val="18"/>
                <w:szCs w:val="18"/>
              </w:rPr>
              <w:t xml:space="preserve">roposed start date for works 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has been delayed by approx. 4 weeks </w:t>
            </w:r>
            <w:r w:rsidR="59F65632" w:rsidRPr="6F1C8AD0">
              <w:rPr>
                <w:rFonts w:ascii="Arial" w:hAnsi="Arial" w:cs="Arial"/>
                <w:sz w:val="18"/>
                <w:szCs w:val="18"/>
              </w:rPr>
              <w:t xml:space="preserve">at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6F1C8AD0">
              <w:rPr>
                <w:rFonts w:ascii="Arial" w:hAnsi="Arial" w:cs="Arial"/>
                <w:sz w:val="18"/>
                <w:szCs w:val="18"/>
              </w:rPr>
              <w:t>Custom House</w:t>
            </w:r>
            <w:r w:rsidR="59F65632" w:rsidRPr="6F1C8AD0">
              <w:rPr>
                <w:rFonts w:ascii="Arial" w:hAnsi="Arial" w:cs="Arial"/>
                <w:sz w:val="18"/>
                <w:szCs w:val="18"/>
              </w:rPr>
              <w:t xml:space="preserve"> while the project team seek appropriate approvals via the cabinet meeting process. </w:t>
            </w:r>
          </w:p>
        </w:tc>
      </w:tr>
      <w:tr w:rsidR="00A0023C" w:rsidRPr="0097513E" w14:paraId="1ADAA745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B4BED48" w14:textId="77777777" w:rsidR="00A0023C" w:rsidRPr="0097513E" w:rsidRDefault="00A0023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764" w:rsidRPr="0097513E" w14:paraId="119396D5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E34259B" w14:textId="6B0484ED" w:rsidR="00293764" w:rsidRPr="003A5504" w:rsidRDefault="009D293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5504">
              <w:rPr>
                <w:rFonts w:ascii="Arial" w:hAnsi="Arial" w:cs="Arial"/>
                <w:b/>
                <w:bCs/>
              </w:rPr>
              <w:t>5. Resources Commentary</w:t>
            </w:r>
          </w:p>
        </w:tc>
      </w:tr>
      <w:tr w:rsidR="009D293D" w:rsidRPr="0097513E" w14:paraId="4BFECDC6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916F23B" w14:textId="77777777" w:rsidR="006F5675" w:rsidRDefault="00DE45C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45C3">
              <w:rPr>
                <w:rFonts w:ascii="Arial" w:hAnsi="Arial" w:cs="Arial"/>
                <w:sz w:val="18"/>
                <w:szCs w:val="18"/>
              </w:rPr>
              <w:t xml:space="preserve">Resources </w:t>
            </w:r>
            <w:r w:rsidR="002F5D8E">
              <w:rPr>
                <w:rFonts w:ascii="Arial" w:hAnsi="Arial" w:cs="Arial"/>
                <w:sz w:val="18"/>
                <w:szCs w:val="18"/>
              </w:rPr>
              <w:t xml:space="preserve">RAG rating </w:t>
            </w:r>
            <w:r w:rsidR="00785BC9">
              <w:rPr>
                <w:rFonts w:ascii="Arial" w:hAnsi="Arial" w:cs="Arial"/>
                <w:sz w:val="18"/>
                <w:szCs w:val="18"/>
              </w:rPr>
              <w:t>remain</w:t>
            </w:r>
            <w:r w:rsidR="002F5D8E">
              <w:rPr>
                <w:rFonts w:ascii="Arial" w:hAnsi="Arial" w:cs="Arial"/>
                <w:sz w:val="18"/>
                <w:szCs w:val="18"/>
              </w:rPr>
              <w:t>s</w:t>
            </w:r>
            <w:r w:rsidR="00785B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5C3">
              <w:rPr>
                <w:rFonts w:ascii="Arial" w:hAnsi="Arial" w:cs="Arial"/>
                <w:sz w:val="18"/>
                <w:szCs w:val="18"/>
              </w:rPr>
              <w:t xml:space="preserve">GREEN </w:t>
            </w:r>
          </w:p>
          <w:p w14:paraId="2B2F2DDA" w14:textId="4B9BCAEA" w:rsidR="009D293D" w:rsidRPr="00950E6A" w:rsidRDefault="006F5675" w:rsidP="00950E6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0E6A">
              <w:rPr>
                <w:rFonts w:ascii="Arial" w:hAnsi="Arial" w:cs="Arial"/>
                <w:sz w:val="18"/>
                <w:szCs w:val="18"/>
              </w:rPr>
              <w:t>F</w:t>
            </w:r>
            <w:r w:rsidR="00785BC9" w:rsidRPr="00950E6A">
              <w:rPr>
                <w:rFonts w:ascii="Arial" w:hAnsi="Arial" w:cs="Arial"/>
                <w:sz w:val="18"/>
                <w:szCs w:val="18"/>
              </w:rPr>
              <w:t>ollowing</w:t>
            </w:r>
            <w:r w:rsidR="00DE45C3" w:rsidRPr="00950E6A">
              <w:rPr>
                <w:rFonts w:ascii="Arial" w:hAnsi="Arial" w:cs="Arial"/>
                <w:sz w:val="18"/>
                <w:szCs w:val="18"/>
              </w:rPr>
              <w:t xml:space="preserve"> procurement of design team and project PM and QS mitigating risk.</w:t>
            </w:r>
          </w:p>
        </w:tc>
      </w:tr>
      <w:tr w:rsidR="002D6AC7" w:rsidRPr="0097513E" w14:paraId="7ED73BFC" w14:textId="77777777" w:rsidTr="00647C58">
        <w:trPr>
          <w:gridAfter w:val="1"/>
          <w:wAfter w:w="7" w:type="dxa"/>
        </w:trPr>
        <w:tc>
          <w:tcPr>
            <w:tcW w:w="1642" w:type="dxa"/>
            <w:gridSpan w:val="3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CB54569" w14:textId="77777777" w:rsidR="006F5675" w:rsidRPr="0097513E" w:rsidRDefault="006F567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gridSpan w:val="1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1348138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64E2467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93D" w:rsidRPr="0097513E" w14:paraId="4A3BB049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1EEF1"/>
          </w:tcPr>
          <w:p w14:paraId="2CBF841A" w14:textId="2BA42486" w:rsidR="009D293D" w:rsidRPr="00B8638C" w:rsidRDefault="00794E7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38C">
              <w:rPr>
                <w:rFonts w:ascii="Arial" w:hAnsi="Arial" w:cs="Arial"/>
                <w:b/>
                <w:bCs/>
              </w:rPr>
              <w:t>6. Communications and Engagement</w:t>
            </w:r>
          </w:p>
        </w:tc>
      </w:tr>
      <w:tr w:rsidR="005A6B85" w:rsidRPr="0097513E" w14:paraId="4C2E308F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2BEC8E7" w14:textId="1877C41E" w:rsidR="00C5034E" w:rsidRPr="00950E6A" w:rsidRDefault="00B97851" w:rsidP="00950E6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0E6A">
              <w:rPr>
                <w:rFonts w:ascii="Arial" w:hAnsi="Arial" w:cs="Arial"/>
                <w:sz w:val="18"/>
                <w:szCs w:val="18"/>
              </w:rPr>
              <w:t xml:space="preserve">Letters went out to all residents of South Quay and Nelson Street, to let them know about the </w:t>
            </w:r>
            <w:r w:rsidR="00DE27F1" w:rsidRPr="00950E6A">
              <w:rPr>
                <w:rFonts w:ascii="Arial" w:hAnsi="Arial" w:cs="Arial"/>
                <w:sz w:val="18"/>
                <w:szCs w:val="18"/>
              </w:rPr>
              <w:t xml:space="preserve">vegetation clearance at Devil’s Alley. Members and Riverfront Stakeholders also included in comms. </w:t>
            </w:r>
            <w:r w:rsidR="5A3B2B23" w:rsidRPr="00950E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F621F" w:rsidRPr="0097513E" w14:paraId="752B154A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</w:tcPr>
          <w:p w14:paraId="2F83FA6E" w14:textId="77777777" w:rsidR="006F621F" w:rsidRPr="5396A552" w:rsidRDefault="006F621F" w:rsidP="00346F63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804" w:rsidRPr="0097513E" w14:paraId="119E393E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2EB284D2" w14:textId="5642163A" w:rsidR="001C0804" w:rsidRPr="001D4518" w:rsidRDefault="009E57E8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8638C">
              <w:rPr>
                <w:rFonts w:ascii="Arial" w:hAnsi="Arial" w:cs="Arial"/>
                <w:b/>
                <w:bCs/>
              </w:rPr>
              <w:t>7. Outputs and Outcomes</w:t>
            </w:r>
          </w:p>
        </w:tc>
      </w:tr>
      <w:tr w:rsidR="00613C7F" w:rsidRPr="0097513E" w14:paraId="50604DB5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AF1F6"/>
          </w:tcPr>
          <w:p w14:paraId="3134C46D" w14:textId="6E31AC9E" w:rsidR="00613C7F" w:rsidRPr="00C9629B" w:rsidRDefault="008648C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Outputs</w:t>
            </w:r>
          </w:p>
        </w:tc>
      </w:tr>
      <w:tr w:rsidR="00900AF2" w:rsidRPr="0097513E" w14:paraId="7FF4150D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9F0A529" w14:textId="2041CE9E" w:rsidR="008648CD" w:rsidRPr="00C9629B" w:rsidRDefault="00B71F4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66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CC7A798" w14:textId="11D0BC36" w:rsidR="008648CD" w:rsidRPr="00C9629B" w:rsidRDefault="0055468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4840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77CC9EC6" w14:textId="601BE2CF" w:rsidR="008648CD" w:rsidRPr="00C9629B" w:rsidRDefault="0042003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Full Scheme revised outputs, agreed by KL</w:t>
            </w:r>
            <w:r w:rsidR="002F34AD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B and BCKLWN Cabinet July 2024 and 2025</w:t>
            </w:r>
          </w:p>
        </w:tc>
      </w:tr>
      <w:tr w:rsidR="00900AF2" w:rsidRPr="0097513E" w14:paraId="0ADFEB65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vAlign w:val="center"/>
          </w:tcPr>
          <w:p w14:paraId="05CED818" w14:textId="40BC6FB1" w:rsidR="0042003B" w:rsidRPr="0097513E" w:rsidRDefault="003E2556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E2556">
              <w:rPr>
                <w:rFonts w:ascii="Arial" w:hAnsi="Arial" w:cs="Arial"/>
                <w:sz w:val="18"/>
                <w:szCs w:val="18"/>
              </w:rPr>
              <w:t>Amount of rehabilitated land</w:t>
            </w:r>
          </w:p>
        </w:tc>
        <w:tc>
          <w:tcPr>
            <w:tcW w:w="2266" w:type="dxa"/>
            <w:gridSpan w:val="4"/>
            <w:vAlign w:val="center"/>
          </w:tcPr>
          <w:p w14:paraId="493F36BC" w14:textId="7218C5B2" w:rsidR="0042003B" w:rsidRPr="0097513E" w:rsidRDefault="00CF4BFA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BFA">
              <w:rPr>
                <w:rFonts w:ascii="Arial" w:hAnsi="Arial" w:cs="Arial"/>
                <w:sz w:val="18"/>
                <w:szCs w:val="18"/>
              </w:rPr>
              <w:t>3000m2</w:t>
            </w:r>
          </w:p>
        </w:tc>
        <w:tc>
          <w:tcPr>
            <w:tcW w:w="4840" w:type="dxa"/>
            <w:gridSpan w:val="7"/>
            <w:vAlign w:val="center"/>
          </w:tcPr>
          <w:p w14:paraId="4862A1A4" w14:textId="6E8396DB" w:rsidR="0042003B" w:rsidRPr="0097513E" w:rsidRDefault="0042003B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AF2" w:rsidRPr="0097513E" w14:paraId="4B7321AB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vAlign w:val="center"/>
          </w:tcPr>
          <w:p w14:paraId="565AB199" w14:textId="1C30E2A6" w:rsidR="00111F7E" w:rsidRPr="0097513E" w:rsidRDefault="00B905DE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905DE">
              <w:rPr>
                <w:rFonts w:ascii="Arial" w:hAnsi="Arial" w:cs="Arial"/>
                <w:sz w:val="18"/>
                <w:szCs w:val="18"/>
              </w:rPr>
              <w:t>Number of sites cleared</w:t>
            </w:r>
          </w:p>
        </w:tc>
        <w:tc>
          <w:tcPr>
            <w:tcW w:w="2266" w:type="dxa"/>
            <w:gridSpan w:val="4"/>
            <w:vAlign w:val="center"/>
          </w:tcPr>
          <w:p w14:paraId="05E29E85" w14:textId="3ECB2EE5" w:rsidR="00111F7E" w:rsidRPr="0097513E" w:rsidRDefault="001C3B09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B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40" w:type="dxa"/>
            <w:gridSpan w:val="7"/>
            <w:vAlign w:val="center"/>
          </w:tcPr>
          <w:p w14:paraId="7C7C6672" w14:textId="3F2191C9" w:rsidR="00111F7E" w:rsidRPr="0097513E" w:rsidRDefault="00111F7E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54133A25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vAlign w:val="center"/>
          </w:tcPr>
          <w:p w14:paraId="2F81E070" w14:textId="44D23EA2" w:rsidR="00111F7E" w:rsidRPr="0097513E" w:rsidRDefault="00002DBB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02DBB">
              <w:rPr>
                <w:rFonts w:ascii="Arial" w:hAnsi="Arial" w:cs="Arial"/>
                <w:sz w:val="18"/>
                <w:szCs w:val="18"/>
              </w:rPr>
              <w:t>Number of public amenities / facilities created</w:t>
            </w:r>
          </w:p>
        </w:tc>
        <w:tc>
          <w:tcPr>
            <w:tcW w:w="2266" w:type="dxa"/>
            <w:gridSpan w:val="4"/>
            <w:vAlign w:val="center"/>
          </w:tcPr>
          <w:p w14:paraId="157257AE" w14:textId="2A573E32" w:rsidR="00111F7E" w:rsidRPr="0097513E" w:rsidRDefault="00B90F6F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F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40" w:type="dxa"/>
            <w:gridSpan w:val="7"/>
            <w:vAlign w:val="center"/>
          </w:tcPr>
          <w:p w14:paraId="55987026" w14:textId="5A94B1B5" w:rsidR="00111F7E" w:rsidRPr="0097513E" w:rsidRDefault="00111F7E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076C7BF6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vAlign w:val="center"/>
          </w:tcPr>
          <w:p w14:paraId="566B2281" w14:textId="2578D4EC" w:rsidR="00111F7E" w:rsidRPr="0097513E" w:rsidRDefault="006718BA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718BA">
              <w:rPr>
                <w:rFonts w:ascii="Arial" w:hAnsi="Arial" w:cs="Arial"/>
                <w:sz w:val="18"/>
                <w:szCs w:val="18"/>
              </w:rPr>
              <w:t>Number of historic landmarks and buildings refurbished</w:t>
            </w:r>
          </w:p>
        </w:tc>
        <w:tc>
          <w:tcPr>
            <w:tcW w:w="2266" w:type="dxa"/>
            <w:gridSpan w:val="4"/>
            <w:vAlign w:val="center"/>
          </w:tcPr>
          <w:p w14:paraId="009E4135" w14:textId="7A4CBC53" w:rsidR="00111F7E" w:rsidRPr="0097513E" w:rsidRDefault="00413103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31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40" w:type="dxa"/>
            <w:gridSpan w:val="7"/>
            <w:vAlign w:val="center"/>
          </w:tcPr>
          <w:p w14:paraId="64E384DA" w14:textId="34858078" w:rsidR="00111F7E" w:rsidRPr="0097513E" w:rsidRDefault="00111F7E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0E5352F0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vAlign w:val="center"/>
          </w:tcPr>
          <w:p w14:paraId="721F1CA6" w14:textId="39F59C6F" w:rsidR="00111F7E" w:rsidRPr="0097513E" w:rsidRDefault="009F1178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F1178">
              <w:rPr>
                <w:rFonts w:ascii="Arial" w:hAnsi="Arial" w:cs="Arial"/>
                <w:sz w:val="18"/>
                <w:szCs w:val="18"/>
              </w:rPr>
              <w:lastRenderedPageBreak/>
              <w:t>Amount of floorspace (commercial, residential, industrial) created</w:t>
            </w:r>
          </w:p>
        </w:tc>
        <w:tc>
          <w:tcPr>
            <w:tcW w:w="2266" w:type="dxa"/>
            <w:gridSpan w:val="4"/>
            <w:vAlign w:val="center"/>
          </w:tcPr>
          <w:p w14:paraId="60F1E8E2" w14:textId="1A52B81A" w:rsidR="00111F7E" w:rsidRPr="0097513E" w:rsidRDefault="00014520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4520">
              <w:rPr>
                <w:rFonts w:ascii="Arial" w:hAnsi="Arial" w:cs="Arial"/>
                <w:sz w:val="18"/>
                <w:szCs w:val="18"/>
              </w:rPr>
              <w:t>4000m2</w:t>
            </w:r>
          </w:p>
        </w:tc>
        <w:tc>
          <w:tcPr>
            <w:tcW w:w="4840" w:type="dxa"/>
            <w:gridSpan w:val="7"/>
            <w:vAlign w:val="center"/>
          </w:tcPr>
          <w:p w14:paraId="3CE73E71" w14:textId="00A8A5EB" w:rsidR="00111F7E" w:rsidRPr="0097513E" w:rsidRDefault="00111F7E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4572123A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vAlign w:val="center"/>
          </w:tcPr>
          <w:p w14:paraId="5DCAD56F" w14:textId="0AA698C2" w:rsidR="005E53B5" w:rsidRPr="0097513E" w:rsidRDefault="0001421C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1421C">
              <w:rPr>
                <w:rFonts w:ascii="Arial" w:hAnsi="Arial" w:cs="Arial"/>
                <w:sz w:val="18"/>
                <w:szCs w:val="18"/>
              </w:rPr>
              <w:t>Number of temporary FT jobs supported during project implementation</w:t>
            </w:r>
          </w:p>
        </w:tc>
        <w:tc>
          <w:tcPr>
            <w:tcW w:w="2266" w:type="dxa"/>
            <w:gridSpan w:val="4"/>
            <w:vAlign w:val="center"/>
          </w:tcPr>
          <w:p w14:paraId="7884EB7D" w14:textId="42C91D18" w:rsidR="005E53B5" w:rsidRPr="0097513E" w:rsidRDefault="00522E12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2E12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4840" w:type="dxa"/>
            <w:gridSpan w:val="7"/>
            <w:vAlign w:val="center"/>
          </w:tcPr>
          <w:p w14:paraId="4C61226A" w14:textId="12C05B8D" w:rsidR="005E53B5" w:rsidRPr="0097513E" w:rsidRDefault="005E53B5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1261E84D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bottom w:val="single" w:sz="4" w:space="0" w:color="ADADAD" w:themeColor="background2" w:themeShade="BF"/>
            </w:tcBorders>
            <w:vAlign w:val="center"/>
          </w:tcPr>
          <w:p w14:paraId="22E286F6" w14:textId="71D56DDB" w:rsidR="005E53B5" w:rsidRPr="0097513E" w:rsidRDefault="006B7EB0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B7EB0">
              <w:rPr>
                <w:rFonts w:ascii="Arial" w:hAnsi="Arial" w:cs="Arial"/>
                <w:sz w:val="18"/>
                <w:szCs w:val="18"/>
              </w:rPr>
              <w:t>Number of FTE jobs created and safeguarded</w:t>
            </w:r>
          </w:p>
        </w:tc>
        <w:tc>
          <w:tcPr>
            <w:tcW w:w="2266" w:type="dxa"/>
            <w:gridSpan w:val="4"/>
            <w:tcBorders>
              <w:bottom w:val="single" w:sz="4" w:space="0" w:color="ADADAD" w:themeColor="background2" w:themeShade="BF"/>
            </w:tcBorders>
            <w:vAlign w:val="center"/>
          </w:tcPr>
          <w:p w14:paraId="6C4B4EB7" w14:textId="26D570E7" w:rsidR="005E53B5" w:rsidRPr="0097513E" w:rsidRDefault="008C6226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226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4840" w:type="dxa"/>
            <w:gridSpan w:val="7"/>
            <w:tcBorders>
              <w:bottom w:val="single" w:sz="4" w:space="0" w:color="ADADAD" w:themeColor="background2" w:themeShade="BF"/>
            </w:tcBorders>
            <w:vAlign w:val="center"/>
          </w:tcPr>
          <w:p w14:paraId="4F79E563" w14:textId="25B6AE59" w:rsidR="005E53B5" w:rsidRPr="0097513E" w:rsidRDefault="005E53B5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1771A21E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3692043" w14:textId="570345E6" w:rsidR="005E53B5" w:rsidRPr="0097513E" w:rsidRDefault="00A85FA9" w:rsidP="00AA69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5FA9">
              <w:rPr>
                <w:rFonts w:ascii="Arial" w:hAnsi="Arial" w:cs="Arial"/>
                <w:sz w:val="18"/>
                <w:szCs w:val="18"/>
              </w:rPr>
              <w:t>Amount of public realm enhanced</w:t>
            </w:r>
          </w:p>
        </w:tc>
        <w:tc>
          <w:tcPr>
            <w:tcW w:w="2266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DC98549" w14:textId="5A1E699C" w:rsidR="005E53B5" w:rsidRPr="0097513E" w:rsidRDefault="0029690D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90D">
              <w:rPr>
                <w:rFonts w:ascii="Arial" w:hAnsi="Arial" w:cs="Arial"/>
                <w:sz w:val="18"/>
                <w:szCs w:val="18"/>
              </w:rPr>
              <w:t>7845m2</w:t>
            </w:r>
          </w:p>
        </w:tc>
        <w:tc>
          <w:tcPr>
            <w:tcW w:w="484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6934536E" w14:textId="1B2B78E4" w:rsidR="005E53B5" w:rsidRPr="0097513E" w:rsidRDefault="005E53B5" w:rsidP="00AA69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5BA" w:rsidRPr="0097513E" w14:paraId="465CE874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F031976" w14:textId="77777777" w:rsidR="000F55BA" w:rsidRPr="00A85FA9" w:rsidRDefault="000F55BA" w:rsidP="00A85F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4F4BADB" w14:textId="77777777" w:rsidR="000F55BA" w:rsidRPr="0029690D" w:rsidRDefault="000F55B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BB1281F" w14:textId="77777777" w:rsidR="000F55BA" w:rsidRPr="0097513E" w:rsidRDefault="000F55B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6C6" w:rsidRPr="0097513E" w14:paraId="15781C46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358A4B50" w14:textId="0ABF59E6" w:rsidR="009136C6" w:rsidRPr="005E58AB" w:rsidRDefault="00F617A5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5BA">
              <w:rPr>
                <w:rFonts w:ascii="Arial" w:hAnsi="Arial" w:cs="Arial"/>
                <w:b/>
                <w:bCs/>
              </w:rPr>
              <w:t xml:space="preserve">7.2 </w:t>
            </w:r>
            <w:r w:rsidR="00FB42AF" w:rsidRPr="000F55BA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4870C8" w:rsidRPr="0097513E" w14:paraId="36BBAC6E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56BDE6B" w14:textId="4F2186F9" w:rsidR="004870C8" w:rsidRPr="005E58AB" w:rsidRDefault="004870C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8AB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66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A43D156" w14:textId="32DCB51C" w:rsidR="004870C8" w:rsidRPr="005E58AB" w:rsidRDefault="00F40D0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4840" w:type="dxa"/>
            <w:gridSpan w:val="7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F3A32CD" w14:textId="69BBF6DD" w:rsidR="004870C8" w:rsidRPr="005E58AB" w:rsidRDefault="00F40D0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</w:tc>
      </w:tr>
      <w:tr w:rsidR="00F40D04" w:rsidRPr="0097513E" w14:paraId="654E95DE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</w:tcPr>
          <w:p w14:paraId="7B93FD05" w14:textId="4C96E2AC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20989">
              <w:rPr>
                <w:rFonts w:ascii="Arial" w:hAnsi="Arial" w:cs="Arial"/>
                <w:sz w:val="18"/>
                <w:szCs w:val="18"/>
              </w:rPr>
              <w:t>Remediation and development of abandoned site</w:t>
            </w:r>
          </w:p>
        </w:tc>
        <w:tc>
          <w:tcPr>
            <w:tcW w:w="2266" w:type="dxa"/>
            <w:gridSpan w:val="4"/>
          </w:tcPr>
          <w:p w14:paraId="7155BE9E" w14:textId="77777777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gridSpan w:val="7"/>
          </w:tcPr>
          <w:p w14:paraId="12230A4B" w14:textId="2C69C921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D04" w:rsidRPr="0097513E" w14:paraId="05996628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bottom w:val="single" w:sz="4" w:space="0" w:color="ADADAD" w:themeColor="background2" w:themeShade="BF"/>
            </w:tcBorders>
          </w:tcPr>
          <w:p w14:paraId="1F54E463" w14:textId="0F5CCA63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1CE0">
              <w:rPr>
                <w:rFonts w:ascii="Arial" w:hAnsi="Arial" w:cs="Arial"/>
                <w:sz w:val="18"/>
                <w:szCs w:val="18"/>
              </w:rPr>
              <w:t>Upgraded historic landmark site</w:t>
            </w:r>
          </w:p>
        </w:tc>
        <w:tc>
          <w:tcPr>
            <w:tcW w:w="2266" w:type="dxa"/>
            <w:gridSpan w:val="4"/>
            <w:tcBorders>
              <w:bottom w:val="single" w:sz="4" w:space="0" w:color="ADADAD" w:themeColor="background2" w:themeShade="BF"/>
            </w:tcBorders>
          </w:tcPr>
          <w:p w14:paraId="1410012F" w14:textId="77777777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gridSpan w:val="7"/>
            <w:tcBorders>
              <w:bottom w:val="single" w:sz="4" w:space="0" w:color="ADADAD" w:themeColor="background2" w:themeShade="BF"/>
            </w:tcBorders>
          </w:tcPr>
          <w:p w14:paraId="455FC1C4" w14:textId="3A9227DC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D04" w:rsidRPr="0097513E" w14:paraId="69BB9C97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B9B4B35" w14:textId="51D3D477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F7BBC">
              <w:rPr>
                <w:rFonts w:ascii="Arial" w:hAnsi="Arial" w:cs="Arial"/>
                <w:sz w:val="18"/>
                <w:szCs w:val="18"/>
              </w:rPr>
              <w:t>Improved perception of place by residents, visitors and businesses</w:t>
            </w:r>
          </w:p>
        </w:tc>
        <w:tc>
          <w:tcPr>
            <w:tcW w:w="2266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28B56AE" w14:textId="77777777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0BD0F109" w14:textId="2A29D98A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D04" w:rsidRPr="0097513E" w14:paraId="31B27A66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D875F97" w14:textId="77777777" w:rsidR="00F40D04" w:rsidRPr="00BF7BBC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D6AE74A" w14:textId="77777777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937EE01" w14:textId="77777777" w:rsidR="00F40D04" w:rsidRPr="0097513E" w:rsidRDefault="00F40D0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B9" w:rsidRPr="0097513E" w14:paraId="638B1C07" w14:textId="77777777" w:rsidTr="00647C58">
        <w:trPr>
          <w:gridAfter w:val="1"/>
          <w:wAfter w:w="7" w:type="dxa"/>
        </w:trPr>
        <w:tc>
          <w:tcPr>
            <w:tcW w:w="10625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844D423" w14:textId="56902CDB" w:rsidR="003120B9" w:rsidRPr="005222C1" w:rsidRDefault="0055153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</w:rPr>
              <w:t>8. Other Matters</w:t>
            </w:r>
          </w:p>
        </w:tc>
      </w:tr>
      <w:tr w:rsidR="002D094F" w:rsidRPr="0097513E" w14:paraId="19F9F429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3FAB36F" w14:textId="7E89DBDE" w:rsidR="002D094F" w:rsidRPr="005222C1" w:rsidRDefault="002D094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665E"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Item  </w:t>
            </w: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7106" w:type="dxa"/>
            <w:gridSpan w:val="11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01865866" w14:textId="5CBD9318" w:rsidR="002D094F" w:rsidRPr="005222C1" w:rsidRDefault="00DA709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>Comment</w:t>
            </w:r>
          </w:p>
        </w:tc>
      </w:tr>
      <w:tr w:rsidR="004D7726" w:rsidRPr="0097513E" w14:paraId="52309427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shd w:val="clear" w:color="auto" w:fill="EBF2F8"/>
          </w:tcPr>
          <w:p w14:paraId="36E94262" w14:textId="77777777" w:rsidR="00FD1817" w:rsidRDefault="00FD181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CD76644" w14:textId="77777777" w:rsidR="004D7726" w:rsidRDefault="0071611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611B">
              <w:rPr>
                <w:rFonts w:ascii="Arial" w:hAnsi="Arial" w:cs="Arial"/>
                <w:sz w:val="18"/>
                <w:szCs w:val="18"/>
              </w:rPr>
              <w:t>General stage progress</w:t>
            </w:r>
          </w:p>
          <w:p w14:paraId="414F2773" w14:textId="6754AFCD" w:rsidR="00FD1817" w:rsidRPr="0097513E" w:rsidRDefault="00FD181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6" w:type="dxa"/>
            <w:gridSpan w:val="11"/>
          </w:tcPr>
          <w:p w14:paraId="5B43C6DB" w14:textId="1D6B3C36" w:rsidR="004D7726" w:rsidRPr="0097513E" w:rsidRDefault="535D3A5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sz w:val="18"/>
                <w:szCs w:val="18"/>
              </w:rPr>
              <w:t xml:space="preserve">RIBA Stage </w:t>
            </w:r>
            <w:r w:rsidR="1CE2E6FC" w:rsidRPr="6F1C8AD0">
              <w:rPr>
                <w:rFonts w:ascii="Arial" w:hAnsi="Arial" w:cs="Arial"/>
                <w:sz w:val="18"/>
                <w:szCs w:val="18"/>
              </w:rPr>
              <w:t>4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design </w:t>
            </w:r>
            <w:r w:rsidR="51097A19" w:rsidRPr="6F1C8AD0">
              <w:rPr>
                <w:rFonts w:ascii="Arial" w:hAnsi="Arial" w:cs="Arial"/>
                <w:sz w:val="18"/>
                <w:szCs w:val="18"/>
              </w:rPr>
              <w:t>complete</w:t>
            </w:r>
            <w:r w:rsidR="04D972B4" w:rsidRPr="6F1C8AD0">
              <w:rPr>
                <w:rFonts w:ascii="Arial" w:hAnsi="Arial" w:cs="Arial"/>
                <w:sz w:val="18"/>
                <w:szCs w:val="18"/>
              </w:rPr>
              <w:t>.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Second cycle of consultation with Historic England completed ahead of planning submission for Custom House. Dry Side Facilities planning application has been granted</w:t>
            </w:r>
            <w:r w:rsidR="5FC9CDEE" w:rsidRPr="6F1C8AD0">
              <w:rPr>
                <w:rFonts w:ascii="Arial" w:hAnsi="Arial" w:cs="Arial"/>
                <w:sz w:val="18"/>
                <w:szCs w:val="18"/>
              </w:rPr>
              <w:t xml:space="preserve"> and works started</w:t>
            </w:r>
            <w:r w:rsidRPr="6F1C8AD0">
              <w:rPr>
                <w:rFonts w:ascii="Arial" w:hAnsi="Arial" w:cs="Arial"/>
                <w:sz w:val="18"/>
                <w:szCs w:val="18"/>
              </w:rPr>
              <w:t>. Devil’s Alley planning submission has now been withdrawn and removed from the project scope.</w:t>
            </w:r>
          </w:p>
        </w:tc>
      </w:tr>
      <w:tr w:rsidR="00AF103C" w:rsidRPr="0097513E" w14:paraId="709E0ADC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shd w:val="clear" w:color="auto" w:fill="EBF2F8"/>
          </w:tcPr>
          <w:p w14:paraId="4F73FF9B" w14:textId="77777777" w:rsidR="00320414" w:rsidRDefault="0032041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682B632" w14:textId="0F94830B" w:rsidR="00AF103C" w:rsidRDefault="0032041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0414">
              <w:rPr>
                <w:rFonts w:ascii="Arial" w:hAnsi="Arial" w:cs="Arial"/>
                <w:sz w:val="18"/>
                <w:szCs w:val="18"/>
              </w:rPr>
              <w:t>Procurement progress</w:t>
            </w:r>
          </w:p>
          <w:p w14:paraId="365D7377" w14:textId="48ADECB5" w:rsidR="00320414" w:rsidRPr="0097513E" w:rsidRDefault="0032041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6" w:type="dxa"/>
            <w:gridSpan w:val="11"/>
          </w:tcPr>
          <w:p w14:paraId="76CA79E2" w14:textId="77777777" w:rsidR="00B76DF7" w:rsidRPr="00B76DF7" w:rsidRDefault="00B76DF7" w:rsidP="00B76D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6DF7">
              <w:rPr>
                <w:rFonts w:ascii="Arial" w:hAnsi="Arial" w:cs="Arial"/>
                <w:sz w:val="18"/>
                <w:szCs w:val="18"/>
              </w:rPr>
              <w:t>Professional team:</w:t>
            </w:r>
          </w:p>
          <w:p w14:paraId="50B2BFF9" w14:textId="77777777" w:rsidR="00B76DF7" w:rsidRPr="00B76DF7" w:rsidRDefault="00B76DF7" w:rsidP="00B76D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6DF7">
              <w:rPr>
                <w:rFonts w:ascii="Arial" w:hAnsi="Arial" w:cs="Arial"/>
                <w:sz w:val="18"/>
                <w:szCs w:val="18"/>
              </w:rPr>
              <w:t xml:space="preserve">Architect Led Design Team: </w:t>
            </w:r>
            <w:proofErr w:type="spellStart"/>
            <w:r w:rsidRPr="00B76DF7">
              <w:rPr>
                <w:rFonts w:ascii="Arial" w:hAnsi="Arial" w:cs="Arial"/>
                <w:sz w:val="18"/>
                <w:szCs w:val="18"/>
              </w:rPr>
              <w:t>Anotherkind</w:t>
            </w:r>
            <w:proofErr w:type="spellEnd"/>
            <w:r w:rsidRPr="00B76DF7">
              <w:rPr>
                <w:rFonts w:ascii="Arial" w:hAnsi="Arial" w:cs="Arial"/>
                <w:sz w:val="18"/>
                <w:szCs w:val="18"/>
              </w:rPr>
              <w:t xml:space="preserve"> Architects </w:t>
            </w:r>
          </w:p>
          <w:p w14:paraId="747B8A72" w14:textId="77777777" w:rsidR="00B76DF7" w:rsidRPr="00B76DF7" w:rsidRDefault="00B76DF7" w:rsidP="00B76D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6DF7">
              <w:rPr>
                <w:rFonts w:ascii="Arial" w:hAnsi="Arial" w:cs="Arial"/>
                <w:sz w:val="18"/>
                <w:szCs w:val="18"/>
              </w:rPr>
              <w:t>Quantity Surveyor: Andrew Morton Associates</w:t>
            </w:r>
          </w:p>
          <w:p w14:paraId="427B3332" w14:textId="77777777" w:rsidR="00B76DF7" w:rsidRPr="00B76DF7" w:rsidRDefault="00B76DF7" w:rsidP="00B76D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6DF7">
              <w:rPr>
                <w:rFonts w:ascii="Arial" w:hAnsi="Arial" w:cs="Arial"/>
                <w:sz w:val="18"/>
                <w:szCs w:val="18"/>
              </w:rPr>
              <w:t>Project Managers: Pulse</w:t>
            </w:r>
          </w:p>
          <w:p w14:paraId="0B67E1B4" w14:textId="4B1CB3E7" w:rsidR="00B76DF7" w:rsidRPr="00B76DF7" w:rsidRDefault="5C6F9F9F" w:rsidP="00B76D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5396A552">
              <w:rPr>
                <w:rFonts w:ascii="Arial" w:hAnsi="Arial" w:cs="Arial"/>
                <w:sz w:val="18"/>
                <w:szCs w:val="18"/>
              </w:rPr>
              <w:t>Contract works: Dryside facilities, Custom House.</w:t>
            </w:r>
          </w:p>
          <w:p w14:paraId="493E2854" w14:textId="649ECC5A" w:rsidR="00AF103C" w:rsidRPr="0097513E" w:rsidRDefault="764659E0" w:rsidP="00B76D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F1C8AD0">
              <w:rPr>
                <w:rFonts w:ascii="Arial" w:hAnsi="Arial" w:cs="Arial"/>
                <w:sz w:val="18"/>
                <w:szCs w:val="18"/>
              </w:rPr>
              <w:t>Consideration was given to linking to the Guildhall procurement, but it was considered high risk tying the projects together</w:t>
            </w:r>
            <w:r w:rsidR="1C601B3F" w:rsidRPr="6F1C8AD0">
              <w:rPr>
                <w:rFonts w:ascii="Arial" w:hAnsi="Arial" w:cs="Arial"/>
                <w:sz w:val="18"/>
                <w:szCs w:val="18"/>
              </w:rPr>
              <w:t xml:space="preserve"> as it</w:t>
            </w:r>
            <w:r w:rsidRPr="6F1C8AD0">
              <w:rPr>
                <w:rFonts w:ascii="Arial" w:hAnsi="Arial" w:cs="Arial"/>
                <w:sz w:val="18"/>
                <w:szCs w:val="18"/>
              </w:rPr>
              <w:t xml:space="preserve"> could be readily derailed by delays on the Guildhall which jeopardises two Town Deal projects.</w:t>
            </w:r>
          </w:p>
        </w:tc>
      </w:tr>
      <w:tr w:rsidR="00AF103C" w:rsidRPr="0097513E" w14:paraId="68B8F187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shd w:val="clear" w:color="auto" w:fill="EBF2F8"/>
          </w:tcPr>
          <w:p w14:paraId="7BA141B6" w14:textId="3B3C8860" w:rsidR="00AC4EAD" w:rsidRPr="0097513E" w:rsidRDefault="00AC4EAD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C4EAD">
              <w:rPr>
                <w:rFonts w:ascii="Arial" w:hAnsi="Arial" w:cs="Arial"/>
                <w:sz w:val="18"/>
                <w:szCs w:val="18"/>
              </w:rPr>
              <w:t>Proposed form of contract</w:t>
            </w:r>
          </w:p>
        </w:tc>
        <w:tc>
          <w:tcPr>
            <w:tcW w:w="7106" w:type="dxa"/>
            <w:gridSpan w:val="11"/>
          </w:tcPr>
          <w:p w14:paraId="241F8834" w14:textId="644E91EE" w:rsidR="00AF103C" w:rsidRPr="0097513E" w:rsidRDefault="0008096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096A">
              <w:rPr>
                <w:rFonts w:ascii="Arial" w:hAnsi="Arial" w:cs="Arial"/>
                <w:sz w:val="18"/>
                <w:szCs w:val="18"/>
              </w:rPr>
              <w:t xml:space="preserve">JCT - a traditional contract for the Custom House and Dry Side facilities.  </w:t>
            </w:r>
          </w:p>
        </w:tc>
      </w:tr>
      <w:tr w:rsidR="00AF103C" w:rsidRPr="0097513E" w14:paraId="6C80EF99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shd w:val="clear" w:color="auto" w:fill="EBF2F8"/>
          </w:tcPr>
          <w:p w14:paraId="5157DD8F" w14:textId="482C78C8" w:rsidR="00AF103C" w:rsidRPr="0097513E" w:rsidRDefault="00313F1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13F13">
              <w:rPr>
                <w:rFonts w:ascii="Arial" w:hAnsi="Arial" w:cs="Arial"/>
                <w:sz w:val="18"/>
                <w:szCs w:val="18"/>
              </w:rPr>
              <w:t>Proposed route to market</w:t>
            </w:r>
          </w:p>
        </w:tc>
        <w:tc>
          <w:tcPr>
            <w:tcW w:w="7106" w:type="dxa"/>
            <w:gridSpan w:val="11"/>
          </w:tcPr>
          <w:p w14:paraId="7A821C34" w14:textId="56F4E549" w:rsidR="00AF103C" w:rsidRPr="0097513E" w:rsidRDefault="0084664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46648">
              <w:rPr>
                <w:rFonts w:ascii="Arial" w:hAnsi="Arial" w:cs="Arial"/>
                <w:sz w:val="18"/>
                <w:szCs w:val="18"/>
              </w:rPr>
              <w:t>Use of Framework to be considered</w:t>
            </w:r>
            <w:r w:rsidR="4902818B" w:rsidRPr="218FD42C">
              <w:rPr>
                <w:rFonts w:ascii="Arial" w:hAnsi="Arial" w:cs="Arial"/>
                <w:sz w:val="18"/>
                <w:szCs w:val="18"/>
              </w:rPr>
              <w:t xml:space="preserve"> if required. </w:t>
            </w:r>
          </w:p>
        </w:tc>
      </w:tr>
      <w:tr w:rsidR="00AF103C" w:rsidRPr="0097513E" w14:paraId="4E81FAFF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shd w:val="clear" w:color="auto" w:fill="EBF2F8"/>
          </w:tcPr>
          <w:p w14:paraId="7AC98B8E" w14:textId="77777777" w:rsidR="006F51EA" w:rsidRDefault="006F51E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BF9FD3" w14:textId="680AA0D9" w:rsidR="006F51EA" w:rsidRPr="0097513E" w:rsidRDefault="000B4AE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B4AEB">
              <w:rPr>
                <w:rFonts w:ascii="Arial" w:hAnsi="Arial" w:cs="Arial"/>
                <w:sz w:val="18"/>
                <w:szCs w:val="18"/>
              </w:rPr>
              <w:t>Surveys Status</w:t>
            </w:r>
          </w:p>
        </w:tc>
        <w:tc>
          <w:tcPr>
            <w:tcW w:w="7106" w:type="dxa"/>
            <w:gridSpan w:val="11"/>
          </w:tcPr>
          <w:p w14:paraId="03E6F642" w14:textId="75483C16" w:rsidR="00AF103C" w:rsidRPr="0097513E" w:rsidRDefault="006F51E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F51EA">
              <w:rPr>
                <w:rFonts w:ascii="Arial" w:hAnsi="Arial" w:cs="Arial"/>
                <w:sz w:val="18"/>
                <w:szCs w:val="18"/>
              </w:rPr>
              <w:t>Surveys carried out at Custom House, Devil’s Alley (prior to pause of this element) and Dryside.</w:t>
            </w:r>
          </w:p>
        </w:tc>
      </w:tr>
      <w:tr w:rsidR="00AF103C" w:rsidRPr="0097513E" w14:paraId="56F7A001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bottom w:val="single" w:sz="4" w:space="0" w:color="ADADAD" w:themeColor="background2" w:themeShade="BF"/>
            </w:tcBorders>
            <w:shd w:val="clear" w:color="auto" w:fill="EBF2F8"/>
          </w:tcPr>
          <w:p w14:paraId="2273039C" w14:textId="2676060B" w:rsidR="00AF103C" w:rsidRPr="0097513E" w:rsidRDefault="00FA493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A4933">
              <w:rPr>
                <w:rFonts w:ascii="Arial" w:hAnsi="Arial" w:cs="Arial"/>
                <w:sz w:val="18"/>
                <w:szCs w:val="18"/>
              </w:rPr>
              <w:t>Stakeholder engagement (comms)</w:t>
            </w:r>
          </w:p>
        </w:tc>
        <w:tc>
          <w:tcPr>
            <w:tcW w:w="7106" w:type="dxa"/>
            <w:gridSpan w:val="11"/>
            <w:tcBorders>
              <w:bottom w:val="single" w:sz="4" w:space="0" w:color="ADADAD" w:themeColor="background2" w:themeShade="BF"/>
            </w:tcBorders>
          </w:tcPr>
          <w:p w14:paraId="00339C16" w14:textId="750DCB5D" w:rsidR="00AF103C" w:rsidRPr="0097513E" w:rsidRDefault="0097645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6457">
              <w:rPr>
                <w:rFonts w:ascii="Arial" w:hAnsi="Arial" w:cs="Arial"/>
                <w:sz w:val="18"/>
                <w:szCs w:val="18"/>
              </w:rPr>
              <w:t>Stakeholder engagement strategy development in progress for the project including residents, businesses, and wider community.</w:t>
            </w:r>
          </w:p>
        </w:tc>
      </w:tr>
      <w:tr w:rsidR="00AF103C" w:rsidRPr="0097513E" w14:paraId="6B09F1ED" w14:textId="77777777" w:rsidTr="00647C58">
        <w:trPr>
          <w:gridAfter w:val="1"/>
          <w:wAfter w:w="7" w:type="dxa"/>
        </w:trPr>
        <w:tc>
          <w:tcPr>
            <w:tcW w:w="3519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BF2F8"/>
          </w:tcPr>
          <w:p w14:paraId="5EC7F10B" w14:textId="673368F7" w:rsidR="00AF103C" w:rsidRPr="0097513E" w:rsidRDefault="00FF6A4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A44">
              <w:rPr>
                <w:rFonts w:ascii="Arial" w:hAnsi="Arial" w:cs="Arial"/>
                <w:sz w:val="18"/>
                <w:szCs w:val="18"/>
              </w:rPr>
              <w:t>Local schemes / dependencies</w:t>
            </w:r>
          </w:p>
        </w:tc>
        <w:tc>
          <w:tcPr>
            <w:tcW w:w="7106" w:type="dxa"/>
            <w:gridSpan w:val="11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A0FCBCB" w14:textId="4FB92879" w:rsidR="00AF103C" w:rsidRPr="0097513E" w:rsidRDefault="00680C5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80C5F">
              <w:rPr>
                <w:rFonts w:ascii="Arial" w:hAnsi="Arial" w:cs="Arial"/>
                <w:sz w:val="18"/>
                <w:szCs w:val="18"/>
              </w:rPr>
              <w:t>Project to align with Guildhall/Rail to River where possible for consistency of materials.</w:t>
            </w:r>
          </w:p>
        </w:tc>
      </w:tr>
      <w:tr w:rsidR="002D25D6" w:rsidRPr="0097513E" w14:paraId="1770DC18" w14:textId="77777777" w:rsidTr="00647C58">
        <w:tc>
          <w:tcPr>
            <w:tcW w:w="10632" w:type="dxa"/>
            <w:gridSpan w:val="1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DCCDE16" w14:textId="6C155CDF" w:rsidR="002D25D6" w:rsidRPr="005222C1" w:rsidRDefault="00223C4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3A3032" w:rsidRPr="005222C1">
              <w:rPr>
                <w:rFonts w:ascii="Arial" w:hAnsi="Arial" w:cs="Arial"/>
                <w:b/>
                <w:bCs/>
              </w:rPr>
              <w:t>9. Approved Documents</w:t>
            </w:r>
          </w:p>
        </w:tc>
      </w:tr>
      <w:tr w:rsidR="00BE4733" w:rsidRPr="0097513E" w14:paraId="7D6F7156" w14:textId="77777777" w:rsidTr="00647C58">
        <w:tc>
          <w:tcPr>
            <w:tcW w:w="1174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13E5619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7C349D9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OBC</w:t>
            </w:r>
          </w:p>
          <w:p w14:paraId="245EF46E" w14:textId="29F4DD8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0 Approval]</w:t>
            </w:r>
          </w:p>
        </w:tc>
        <w:tc>
          <w:tcPr>
            <w:tcW w:w="1173" w:type="dxa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7F036DB9" w14:textId="449FD15B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Client Brief [RIBA 1 Initiation]</w:t>
            </w:r>
          </w:p>
        </w:tc>
        <w:tc>
          <w:tcPr>
            <w:tcW w:w="1172" w:type="dxa"/>
            <w:gridSpan w:val="3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6C621B31" w14:textId="1B702B4C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Resource Brief</w:t>
            </w:r>
          </w:p>
        </w:tc>
        <w:tc>
          <w:tcPr>
            <w:tcW w:w="1174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4A03A8D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</w:t>
            </w:r>
          </w:p>
          <w:p w14:paraId="6CB36147" w14:textId="01F3081F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1 Gateway]</w:t>
            </w:r>
          </w:p>
        </w:tc>
        <w:tc>
          <w:tcPr>
            <w:tcW w:w="1243" w:type="dxa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5809F12" w14:textId="77777777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6B089CEF" w14:textId="5263396C" w:rsidR="00CA0473" w:rsidRPr="0097513E" w:rsidRDefault="00CA04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2 Gateway]</w:t>
            </w:r>
          </w:p>
        </w:tc>
        <w:tc>
          <w:tcPr>
            <w:tcW w:w="1173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7C411BE" w14:textId="77777777" w:rsidR="00C60691" w:rsidRPr="0097513E" w:rsidRDefault="00C6069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7E5E42EE" w14:textId="27E95D53" w:rsidR="00CA0473" w:rsidRPr="0097513E" w:rsidRDefault="00C6069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3 Gateway]</w:t>
            </w:r>
          </w:p>
        </w:tc>
        <w:tc>
          <w:tcPr>
            <w:tcW w:w="1172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56C668EC" w14:textId="77777777" w:rsidR="002D6AC7" w:rsidRPr="0097513E" w:rsidRDefault="002D6AC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6363F7F2" w14:textId="14B40366" w:rsidR="00CA0473" w:rsidRPr="0097513E" w:rsidRDefault="002D6AC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4 Design)</w:t>
            </w:r>
          </w:p>
        </w:tc>
        <w:tc>
          <w:tcPr>
            <w:tcW w:w="1179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244D830" w14:textId="77777777" w:rsidR="00122530" w:rsidRPr="0097513E" w:rsidRDefault="0012253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Final PID</w:t>
            </w:r>
          </w:p>
          <w:p w14:paraId="54AFF5A4" w14:textId="46267351" w:rsidR="00CA0473" w:rsidRPr="0097513E" w:rsidRDefault="0012253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[pre-post tender]</w:t>
            </w:r>
          </w:p>
        </w:tc>
      </w:tr>
      <w:tr w:rsidR="00BE4733" w:rsidRPr="0097513E" w14:paraId="17938649" w14:textId="77777777" w:rsidTr="00647C58">
        <w:tc>
          <w:tcPr>
            <w:tcW w:w="1174" w:type="dxa"/>
            <w:gridSpan w:val="2"/>
          </w:tcPr>
          <w:p w14:paraId="05F10356" w14:textId="77777777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41AD732F" w14:textId="2EF4F1E7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</w:tcPr>
          <w:p w14:paraId="5AB39527" w14:textId="77777777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3"/>
          </w:tcPr>
          <w:p w14:paraId="01E0BFE0" w14:textId="5D352404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</w:tcPr>
          <w:p w14:paraId="70F68A24" w14:textId="77777777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F88407" w14:textId="5D5A6C38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2"/>
          </w:tcPr>
          <w:p w14:paraId="2A39B3D0" w14:textId="77777777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4A48E93C" w14:textId="77777777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</w:tcPr>
          <w:p w14:paraId="6ABE0A06" w14:textId="383E54D3" w:rsidR="00461B26" w:rsidRPr="0097513E" w:rsidRDefault="00461B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881" w:rsidRPr="0097513E" w14:paraId="64CAC69F" w14:textId="77777777" w:rsidTr="00647C58"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B6E72FE" w14:textId="77777777" w:rsidR="006D6881" w:rsidRDefault="00FF376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3763">
              <w:rPr>
                <w:rFonts w:ascii="Arial" w:hAnsi="Arial" w:cs="Arial"/>
                <w:sz w:val="18"/>
                <w:szCs w:val="18"/>
              </w:rPr>
              <w:t>Last Approved Document: PID Update March 2024</w:t>
            </w:r>
          </w:p>
          <w:p w14:paraId="5CDB514C" w14:textId="00E6242F" w:rsidR="000F758F" w:rsidRPr="0097513E" w:rsidRDefault="000F758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1F19" w:rsidRPr="00ED74CB" w14:paraId="4A3113E3" w14:textId="77777777" w:rsidTr="00647C58">
        <w:trPr>
          <w:gridAfter w:val="1"/>
          <w:wAfter w:w="7" w:type="dxa"/>
        </w:trPr>
        <w:tc>
          <w:tcPr>
            <w:tcW w:w="3826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31A3BBAC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Spend – Budget variance (Inc. Contingency)</w:t>
            </w:r>
          </w:p>
        </w:tc>
        <w:tc>
          <w:tcPr>
            <w:tcW w:w="3282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163922B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Milestone Delivery RAG Status</w:t>
            </w:r>
          </w:p>
        </w:tc>
        <w:tc>
          <w:tcPr>
            <w:tcW w:w="3517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13EB6FEA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Risk &amp; Issue RAG status</w:t>
            </w:r>
          </w:p>
        </w:tc>
      </w:tr>
      <w:tr w:rsidR="00511F19" w:rsidRPr="00ED74CB" w14:paraId="1D460946" w14:textId="77777777" w:rsidTr="00647C58">
        <w:trPr>
          <w:gridAfter w:val="1"/>
          <w:wAfter w:w="7" w:type="dxa"/>
        </w:trPr>
        <w:tc>
          <w:tcPr>
            <w:tcW w:w="421" w:type="dxa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57D4C7ED" w14:textId="77777777" w:rsidR="00511F19" w:rsidRPr="00936C15" w:rsidRDefault="00511F19" w:rsidP="00A76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405" w:type="dxa"/>
            <w:gridSpan w:val="5"/>
            <w:tcBorders>
              <w:bottom w:val="single" w:sz="4" w:space="0" w:color="ADADAD" w:themeColor="background2" w:themeShade="BF"/>
            </w:tcBorders>
            <w:vAlign w:val="center"/>
          </w:tcPr>
          <w:p w14:paraId="1906AE7C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More than 10% over or under budget</w:t>
            </w:r>
          </w:p>
        </w:tc>
        <w:tc>
          <w:tcPr>
            <w:tcW w:w="337" w:type="dxa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3060874A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945" w:type="dxa"/>
            <w:gridSpan w:val="4"/>
            <w:tcBorders>
              <w:bottom w:val="single" w:sz="4" w:space="0" w:color="ADADAD" w:themeColor="background2" w:themeShade="BF"/>
            </w:tcBorders>
            <w:vAlign w:val="center"/>
          </w:tcPr>
          <w:p w14:paraId="0232FD39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13 weeks or more behind the critical path</w:t>
            </w:r>
          </w:p>
        </w:tc>
        <w:tc>
          <w:tcPr>
            <w:tcW w:w="384" w:type="dxa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7929374A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133" w:type="dxa"/>
            <w:gridSpan w:val="4"/>
            <w:tcBorders>
              <w:bottom w:val="single" w:sz="4" w:space="0" w:color="ADADAD" w:themeColor="background2" w:themeShade="BF"/>
            </w:tcBorders>
            <w:vAlign w:val="center"/>
          </w:tcPr>
          <w:p w14:paraId="3D3B0BF2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Need immediate attention</w:t>
            </w:r>
          </w:p>
        </w:tc>
      </w:tr>
      <w:tr w:rsidR="00511F19" w:rsidRPr="00ED74CB" w14:paraId="7124784E" w14:textId="77777777" w:rsidTr="00B27B2A">
        <w:trPr>
          <w:gridAfter w:val="1"/>
          <w:wAfter w:w="7" w:type="dxa"/>
        </w:trPr>
        <w:tc>
          <w:tcPr>
            <w:tcW w:w="421" w:type="dxa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22DE8B69" w14:textId="77777777" w:rsidR="00511F19" w:rsidRPr="00936C15" w:rsidRDefault="00511F19" w:rsidP="006302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405" w:type="dxa"/>
            <w:gridSpan w:val="5"/>
            <w:tcBorders>
              <w:bottom w:val="single" w:sz="4" w:space="0" w:color="ADADAD" w:themeColor="background2" w:themeShade="BF"/>
            </w:tcBorders>
            <w:vAlign w:val="center"/>
          </w:tcPr>
          <w:p w14:paraId="4E9711D6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Between 5% &amp; 10% over or under budget</w:t>
            </w:r>
          </w:p>
        </w:tc>
        <w:tc>
          <w:tcPr>
            <w:tcW w:w="337" w:type="dxa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14941EA7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945" w:type="dxa"/>
            <w:gridSpan w:val="4"/>
            <w:tcBorders>
              <w:bottom w:val="single" w:sz="4" w:space="0" w:color="ADADAD" w:themeColor="background2" w:themeShade="BF"/>
            </w:tcBorders>
            <w:vAlign w:val="center"/>
          </w:tcPr>
          <w:p w14:paraId="1168B354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4 to 12 weeks behind the critical path</w:t>
            </w:r>
          </w:p>
        </w:tc>
        <w:tc>
          <w:tcPr>
            <w:tcW w:w="384" w:type="dxa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78B45C01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33" w:type="dxa"/>
            <w:gridSpan w:val="4"/>
            <w:tcBorders>
              <w:bottom w:val="single" w:sz="4" w:space="0" w:color="ADADAD" w:themeColor="background2" w:themeShade="BF"/>
            </w:tcBorders>
            <w:vAlign w:val="center"/>
          </w:tcPr>
          <w:p w14:paraId="3A3A7EEF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Needs attention before next project review</w:t>
            </w:r>
          </w:p>
        </w:tc>
      </w:tr>
      <w:tr w:rsidR="00511F19" w:rsidRPr="00ED74CB" w14:paraId="57F0C795" w14:textId="77777777" w:rsidTr="00B27B2A">
        <w:trPr>
          <w:gridAfter w:val="1"/>
          <w:wAfter w:w="7" w:type="dxa"/>
        </w:trPr>
        <w:tc>
          <w:tcPr>
            <w:tcW w:w="42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1F282E3E" w14:textId="77777777" w:rsidR="00511F19" w:rsidRPr="00936C15" w:rsidRDefault="00511F19" w:rsidP="006302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405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382B532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Within 5% of budget or less than £10k</w:t>
            </w:r>
          </w:p>
        </w:tc>
        <w:tc>
          <w:tcPr>
            <w:tcW w:w="33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286E339B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945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6BE7F20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4 to 12 weeks less behind the critical path</w:t>
            </w:r>
          </w:p>
        </w:tc>
        <w:tc>
          <w:tcPr>
            <w:tcW w:w="38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751FC2D7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133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5E82B89A" w14:textId="77777777" w:rsidR="00511F19" w:rsidRPr="00ED74CB" w:rsidRDefault="00511F19" w:rsidP="00A762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Can be managed</w:t>
            </w:r>
          </w:p>
        </w:tc>
      </w:tr>
    </w:tbl>
    <w:p w14:paraId="2949087E" w14:textId="77777777" w:rsidR="00C56080" w:rsidRPr="0097513E" w:rsidRDefault="00C56080" w:rsidP="00243F93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C56080" w:rsidRPr="00975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451E" w14:textId="77777777" w:rsidR="001125FD" w:rsidRDefault="001125FD" w:rsidP="00B75282">
      <w:pPr>
        <w:spacing w:after="0" w:line="240" w:lineRule="auto"/>
      </w:pPr>
      <w:r>
        <w:separator/>
      </w:r>
    </w:p>
  </w:endnote>
  <w:endnote w:type="continuationSeparator" w:id="0">
    <w:p w14:paraId="47B13F2C" w14:textId="77777777" w:rsidR="001125FD" w:rsidRDefault="001125FD" w:rsidP="00B75282">
      <w:pPr>
        <w:spacing w:after="0" w:line="240" w:lineRule="auto"/>
      </w:pPr>
      <w:r>
        <w:continuationSeparator/>
      </w:r>
    </w:p>
  </w:endnote>
  <w:endnote w:type="continuationNotice" w:id="1">
    <w:p w14:paraId="7D9E3291" w14:textId="77777777" w:rsidR="001125FD" w:rsidRDefault="00112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2C03" w14:textId="77777777" w:rsidR="001125FD" w:rsidRDefault="001125FD" w:rsidP="00B75282">
      <w:pPr>
        <w:spacing w:after="0" w:line="240" w:lineRule="auto"/>
      </w:pPr>
      <w:r>
        <w:separator/>
      </w:r>
    </w:p>
  </w:footnote>
  <w:footnote w:type="continuationSeparator" w:id="0">
    <w:p w14:paraId="2204EEAF" w14:textId="77777777" w:rsidR="001125FD" w:rsidRDefault="001125FD" w:rsidP="00B75282">
      <w:pPr>
        <w:spacing w:after="0" w:line="240" w:lineRule="auto"/>
      </w:pPr>
      <w:r>
        <w:continuationSeparator/>
      </w:r>
    </w:p>
  </w:footnote>
  <w:footnote w:type="continuationNotice" w:id="1">
    <w:p w14:paraId="2CDB858A" w14:textId="77777777" w:rsidR="001125FD" w:rsidRDefault="001125F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AE6"/>
    <w:multiLevelType w:val="multilevel"/>
    <w:tmpl w:val="3912B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5781"/>
    <w:multiLevelType w:val="hybridMultilevel"/>
    <w:tmpl w:val="4AB0C9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6713"/>
    <w:multiLevelType w:val="hybridMultilevel"/>
    <w:tmpl w:val="09404A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163F3"/>
    <w:multiLevelType w:val="multilevel"/>
    <w:tmpl w:val="5A46B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57BE4"/>
    <w:multiLevelType w:val="hybridMultilevel"/>
    <w:tmpl w:val="7082BEC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048D9"/>
    <w:multiLevelType w:val="multilevel"/>
    <w:tmpl w:val="C0169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C3781"/>
    <w:multiLevelType w:val="multilevel"/>
    <w:tmpl w:val="0D084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71861"/>
    <w:multiLevelType w:val="hybridMultilevel"/>
    <w:tmpl w:val="F63E6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AA6821"/>
    <w:multiLevelType w:val="hybridMultilevel"/>
    <w:tmpl w:val="EF005434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00DE9"/>
    <w:multiLevelType w:val="hybridMultilevel"/>
    <w:tmpl w:val="A23202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929DB"/>
    <w:multiLevelType w:val="hybridMultilevel"/>
    <w:tmpl w:val="4866F2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25809"/>
    <w:multiLevelType w:val="hybridMultilevel"/>
    <w:tmpl w:val="3E8872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124395"/>
    <w:multiLevelType w:val="hybridMultilevel"/>
    <w:tmpl w:val="F5D6B252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53CF3"/>
    <w:multiLevelType w:val="multilevel"/>
    <w:tmpl w:val="01462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778E9"/>
    <w:multiLevelType w:val="hybridMultilevel"/>
    <w:tmpl w:val="A84A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0260A"/>
    <w:multiLevelType w:val="hybridMultilevel"/>
    <w:tmpl w:val="F2DCAA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E6D01"/>
    <w:multiLevelType w:val="hybridMultilevel"/>
    <w:tmpl w:val="E37829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4466D3"/>
    <w:multiLevelType w:val="hybridMultilevel"/>
    <w:tmpl w:val="0A1C2BEC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4A97893"/>
    <w:multiLevelType w:val="hybridMultilevel"/>
    <w:tmpl w:val="F8DE024C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A5CF9"/>
    <w:multiLevelType w:val="multilevel"/>
    <w:tmpl w:val="098C8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654D5"/>
    <w:multiLevelType w:val="multilevel"/>
    <w:tmpl w:val="6BAAB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72F8E"/>
    <w:multiLevelType w:val="multilevel"/>
    <w:tmpl w:val="1D50E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C1764"/>
    <w:multiLevelType w:val="multilevel"/>
    <w:tmpl w:val="30268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44897"/>
    <w:multiLevelType w:val="hybridMultilevel"/>
    <w:tmpl w:val="3D10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D01C1"/>
    <w:multiLevelType w:val="hybridMultilevel"/>
    <w:tmpl w:val="E140E6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0249BE"/>
    <w:multiLevelType w:val="hybridMultilevel"/>
    <w:tmpl w:val="1E029D1C"/>
    <w:lvl w:ilvl="0" w:tplc="CC8EF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6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2D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4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2E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22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CB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2F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C8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45881"/>
    <w:multiLevelType w:val="multilevel"/>
    <w:tmpl w:val="08445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90D4B"/>
    <w:multiLevelType w:val="hybridMultilevel"/>
    <w:tmpl w:val="2E283C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2D2199"/>
    <w:multiLevelType w:val="hybridMultilevel"/>
    <w:tmpl w:val="586CA140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77DB8"/>
    <w:multiLevelType w:val="hybridMultilevel"/>
    <w:tmpl w:val="29CA77D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67618F"/>
    <w:multiLevelType w:val="hybridMultilevel"/>
    <w:tmpl w:val="D308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B191B"/>
    <w:multiLevelType w:val="hybridMultilevel"/>
    <w:tmpl w:val="C388AB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57F77"/>
    <w:multiLevelType w:val="hybridMultilevel"/>
    <w:tmpl w:val="DEF01D84"/>
    <w:lvl w:ilvl="0" w:tplc="969A2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6640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9001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E78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9A1E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C2BD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869A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2CA9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BE20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F764E"/>
    <w:multiLevelType w:val="multilevel"/>
    <w:tmpl w:val="E3DAC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F6409"/>
    <w:multiLevelType w:val="multilevel"/>
    <w:tmpl w:val="EE109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117241">
    <w:abstractNumId w:val="32"/>
  </w:num>
  <w:num w:numId="2" w16cid:durableId="1244603743">
    <w:abstractNumId w:val="28"/>
  </w:num>
  <w:num w:numId="3" w16cid:durableId="1676689219">
    <w:abstractNumId w:val="8"/>
  </w:num>
  <w:num w:numId="4" w16cid:durableId="1343513013">
    <w:abstractNumId w:val="12"/>
  </w:num>
  <w:num w:numId="5" w16cid:durableId="195046000">
    <w:abstractNumId w:val="18"/>
  </w:num>
  <w:num w:numId="6" w16cid:durableId="108865626">
    <w:abstractNumId w:val="24"/>
  </w:num>
  <w:num w:numId="7" w16cid:durableId="1610117339">
    <w:abstractNumId w:val="31"/>
  </w:num>
  <w:num w:numId="8" w16cid:durableId="476265232">
    <w:abstractNumId w:val="9"/>
  </w:num>
  <w:num w:numId="9" w16cid:durableId="1451246086">
    <w:abstractNumId w:val="4"/>
  </w:num>
  <w:num w:numId="10" w16cid:durableId="289751241">
    <w:abstractNumId w:val="15"/>
  </w:num>
  <w:num w:numId="11" w16cid:durableId="884411200">
    <w:abstractNumId w:val="30"/>
  </w:num>
  <w:num w:numId="12" w16cid:durableId="1050958781">
    <w:abstractNumId w:val="14"/>
  </w:num>
  <w:num w:numId="13" w16cid:durableId="1173178641">
    <w:abstractNumId w:val="23"/>
  </w:num>
  <w:num w:numId="14" w16cid:durableId="1043139169">
    <w:abstractNumId w:val="21"/>
  </w:num>
  <w:num w:numId="15" w16cid:durableId="85613120">
    <w:abstractNumId w:val="33"/>
  </w:num>
  <w:num w:numId="16" w16cid:durableId="960496362">
    <w:abstractNumId w:val="3"/>
  </w:num>
  <w:num w:numId="17" w16cid:durableId="513886524">
    <w:abstractNumId w:val="34"/>
  </w:num>
  <w:num w:numId="18" w16cid:durableId="1299215884">
    <w:abstractNumId w:val="22"/>
  </w:num>
  <w:num w:numId="19" w16cid:durableId="1577058981">
    <w:abstractNumId w:val="7"/>
  </w:num>
  <w:num w:numId="20" w16cid:durableId="137502745">
    <w:abstractNumId w:val="20"/>
  </w:num>
  <w:num w:numId="21" w16cid:durableId="340134006">
    <w:abstractNumId w:val="6"/>
  </w:num>
  <w:num w:numId="22" w16cid:durableId="807939762">
    <w:abstractNumId w:val="19"/>
  </w:num>
  <w:num w:numId="23" w16cid:durableId="2028484652">
    <w:abstractNumId w:val="5"/>
  </w:num>
  <w:num w:numId="24" w16cid:durableId="244534188">
    <w:abstractNumId w:val="13"/>
  </w:num>
  <w:num w:numId="25" w16cid:durableId="800341370">
    <w:abstractNumId w:val="17"/>
  </w:num>
  <w:num w:numId="26" w16cid:durableId="679963287">
    <w:abstractNumId w:val="25"/>
  </w:num>
  <w:num w:numId="27" w16cid:durableId="486944643">
    <w:abstractNumId w:val="16"/>
  </w:num>
  <w:num w:numId="28" w16cid:durableId="455954639">
    <w:abstractNumId w:val="29"/>
  </w:num>
  <w:num w:numId="29" w16cid:durableId="1453281554">
    <w:abstractNumId w:val="0"/>
  </w:num>
  <w:num w:numId="30" w16cid:durableId="1553887088">
    <w:abstractNumId w:val="26"/>
  </w:num>
  <w:num w:numId="31" w16cid:durableId="828207429">
    <w:abstractNumId w:val="1"/>
  </w:num>
  <w:num w:numId="32" w16cid:durableId="1344475614">
    <w:abstractNumId w:val="10"/>
  </w:num>
  <w:num w:numId="33" w16cid:durableId="1250774968">
    <w:abstractNumId w:val="2"/>
  </w:num>
  <w:num w:numId="34" w16cid:durableId="1923492997">
    <w:abstractNumId w:val="11"/>
  </w:num>
  <w:num w:numId="35" w16cid:durableId="14078008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82"/>
    <w:rsid w:val="00002DBB"/>
    <w:rsid w:val="00003031"/>
    <w:rsid w:val="0000468A"/>
    <w:rsid w:val="000052F3"/>
    <w:rsid w:val="0001022B"/>
    <w:rsid w:val="0001421C"/>
    <w:rsid w:val="00014520"/>
    <w:rsid w:val="0001519E"/>
    <w:rsid w:val="00015519"/>
    <w:rsid w:val="000168DA"/>
    <w:rsid w:val="00024308"/>
    <w:rsid w:val="00035407"/>
    <w:rsid w:val="00035884"/>
    <w:rsid w:val="00035E0B"/>
    <w:rsid w:val="000410F8"/>
    <w:rsid w:val="000506B5"/>
    <w:rsid w:val="00060141"/>
    <w:rsid w:val="00072389"/>
    <w:rsid w:val="0008096A"/>
    <w:rsid w:val="00082FA3"/>
    <w:rsid w:val="00092CC9"/>
    <w:rsid w:val="00093AE2"/>
    <w:rsid w:val="00096A43"/>
    <w:rsid w:val="000A055A"/>
    <w:rsid w:val="000A383E"/>
    <w:rsid w:val="000A3DEB"/>
    <w:rsid w:val="000A642A"/>
    <w:rsid w:val="000B0904"/>
    <w:rsid w:val="000B3B2E"/>
    <w:rsid w:val="000B4AEB"/>
    <w:rsid w:val="000B5E0B"/>
    <w:rsid w:val="000B704D"/>
    <w:rsid w:val="000C21D8"/>
    <w:rsid w:val="000C5755"/>
    <w:rsid w:val="000C77FA"/>
    <w:rsid w:val="000D12F3"/>
    <w:rsid w:val="000D24F2"/>
    <w:rsid w:val="000D460A"/>
    <w:rsid w:val="000D4F40"/>
    <w:rsid w:val="000E3A85"/>
    <w:rsid w:val="000E4B74"/>
    <w:rsid w:val="000E5657"/>
    <w:rsid w:val="000E7B8A"/>
    <w:rsid w:val="000F55BA"/>
    <w:rsid w:val="000F758F"/>
    <w:rsid w:val="00100F12"/>
    <w:rsid w:val="001057D5"/>
    <w:rsid w:val="00106B0D"/>
    <w:rsid w:val="00106E0E"/>
    <w:rsid w:val="0010763D"/>
    <w:rsid w:val="00111628"/>
    <w:rsid w:val="00111F7E"/>
    <w:rsid w:val="001125FD"/>
    <w:rsid w:val="001129C3"/>
    <w:rsid w:val="00113F92"/>
    <w:rsid w:val="001146EA"/>
    <w:rsid w:val="001152BE"/>
    <w:rsid w:val="00120E65"/>
    <w:rsid w:val="00121F17"/>
    <w:rsid w:val="00122530"/>
    <w:rsid w:val="00123225"/>
    <w:rsid w:val="00124070"/>
    <w:rsid w:val="00124527"/>
    <w:rsid w:val="001270A3"/>
    <w:rsid w:val="001407C9"/>
    <w:rsid w:val="00141B6F"/>
    <w:rsid w:val="0014247F"/>
    <w:rsid w:val="00143080"/>
    <w:rsid w:val="0014475B"/>
    <w:rsid w:val="00146134"/>
    <w:rsid w:val="00147AB5"/>
    <w:rsid w:val="001510EF"/>
    <w:rsid w:val="00151364"/>
    <w:rsid w:val="00151B3A"/>
    <w:rsid w:val="00152D3E"/>
    <w:rsid w:val="0015678F"/>
    <w:rsid w:val="00156AAE"/>
    <w:rsid w:val="001616ED"/>
    <w:rsid w:val="001617E9"/>
    <w:rsid w:val="0016459A"/>
    <w:rsid w:val="001656D9"/>
    <w:rsid w:val="00166F5D"/>
    <w:rsid w:val="00170393"/>
    <w:rsid w:val="00170CF7"/>
    <w:rsid w:val="0017306F"/>
    <w:rsid w:val="00173889"/>
    <w:rsid w:val="00185081"/>
    <w:rsid w:val="00185664"/>
    <w:rsid w:val="00187F12"/>
    <w:rsid w:val="00193E50"/>
    <w:rsid w:val="001961AD"/>
    <w:rsid w:val="001967A7"/>
    <w:rsid w:val="001A4F11"/>
    <w:rsid w:val="001A526D"/>
    <w:rsid w:val="001A5AA9"/>
    <w:rsid w:val="001A6128"/>
    <w:rsid w:val="001B693B"/>
    <w:rsid w:val="001C0804"/>
    <w:rsid w:val="001C2FCF"/>
    <w:rsid w:val="001C3B09"/>
    <w:rsid w:val="001C5994"/>
    <w:rsid w:val="001C7D01"/>
    <w:rsid w:val="001D0E70"/>
    <w:rsid w:val="001D2E33"/>
    <w:rsid w:val="001D3415"/>
    <w:rsid w:val="001D39C5"/>
    <w:rsid w:val="001D4518"/>
    <w:rsid w:val="001D459E"/>
    <w:rsid w:val="001D5FB1"/>
    <w:rsid w:val="001E50AF"/>
    <w:rsid w:val="001F2F9B"/>
    <w:rsid w:val="00213530"/>
    <w:rsid w:val="002157D2"/>
    <w:rsid w:val="00223C43"/>
    <w:rsid w:val="002245B0"/>
    <w:rsid w:val="002247A1"/>
    <w:rsid w:val="00231405"/>
    <w:rsid w:val="00231B2B"/>
    <w:rsid w:val="00231F33"/>
    <w:rsid w:val="00233CF8"/>
    <w:rsid w:val="0023692E"/>
    <w:rsid w:val="0024012C"/>
    <w:rsid w:val="0024155D"/>
    <w:rsid w:val="0024187F"/>
    <w:rsid w:val="00243F93"/>
    <w:rsid w:val="00245D97"/>
    <w:rsid w:val="002544FD"/>
    <w:rsid w:val="00257F94"/>
    <w:rsid w:val="00257FB4"/>
    <w:rsid w:val="002631F8"/>
    <w:rsid w:val="00266612"/>
    <w:rsid w:val="002718F1"/>
    <w:rsid w:val="00273D01"/>
    <w:rsid w:val="00274685"/>
    <w:rsid w:val="00282AAB"/>
    <w:rsid w:val="002840D8"/>
    <w:rsid w:val="002864E5"/>
    <w:rsid w:val="002872EF"/>
    <w:rsid w:val="00290122"/>
    <w:rsid w:val="002912F2"/>
    <w:rsid w:val="00291D87"/>
    <w:rsid w:val="00293764"/>
    <w:rsid w:val="00295D44"/>
    <w:rsid w:val="0029690D"/>
    <w:rsid w:val="002A55AE"/>
    <w:rsid w:val="002A667F"/>
    <w:rsid w:val="002A6A3C"/>
    <w:rsid w:val="002A7247"/>
    <w:rsid w:val="002B22CD"/>
    <w:rsid w:val="002B4886"/>
    <w:rsid w:val="002B6426"/>
    <w:rsid w:val="002C3125"/>
    <w:rsid w:val="002C5064"/>
    <w:rsid w:val="002C5139"/>
    <w:rsid w:val="002C5FB0"/>
    <w:rsid w:val="002C6236"/>
    <w:rsid w:val="002CB951"/>
    <w:rsid w:val="002D094F"/>
    <w:rsid w:val="002D20FC"/>
    <w:rsid w:val="002D25D6"/>
    <w:rsid w:val="002D4732"/>
    <w:rsid w:val="002D5B02"/>
    <w:rsid w:val="002D69E1"/>
    <w:rsid w:val="002D6AC7"/>
    <w:rsid w:val="002E0482"/>
    <w:rsid w:val="002E4113"/>
    <w:rsid w:val="002E54B5"/>
    <w:rsid w:val="002F0DEA"/>
    <w:rsid w:val="002F18E2"/>
    <w:rsid w:val="002F1F04"/>
    <w:rsid w:val="002F27F9"/>
    <w:rsid w:val="002F34AD"/>
    <w:rsid w:val="002F539F"/>
    <w:rsid w:val="002F5D8E"/>
    <w:rsid w:val="002F626E"/>
    <w:rsid w:val="00300158"/>
    <w:rsid w:val="003003F4"/>
    <w:rsid w:val="003006CF"/>
    <w:rsid w:val="0030313B"/>
    <w:rsid w:val="00303EE1"/>
    <w:rsid w:val="00307500"/>
    <w:rsid w:val="0031185A"/>
    <w:rsid w:val="003120B9"/>
    <w:rsid w:val="00313F13"/>
    <w:rsid w:val="00316E8A"/>
    <w:rsid w:val="00320414"/>
    <w:rsid w:val="00321238"/>
    <w:rsid w:val="0032188A"/>
    <w:rsid w:val="00323814"/>
    <w:rsid w:val="003258EC"/>
    <w:rsid w:val="00325C3E"/>
    <w:rsid w:val="00331268"/>
    <w:rsid w:val="003335AA"/>
    <w:rsid w:val="00337D0B"/>
    <w:rsid w:val="0034033C"/>
    <w:rsid w:val="00340F9D"/>
    <w:rsid w:val="00344518"/>
    <w:rsid w:val="0034615D"/>
    <w:rsid w:val="0034644A"/>
    <w:rsid w:val="00346ED7"/>
    <w:rsid w:val="00346F63"/>
    <w:rsid w:val="00360D75"/>
    <w:rsid w:val="0036223C"/>
    <w:rsid w:val="00365286"/>
    <w:rsid w:val="003667E5"/>
    <w:rsid w:val="003711C2"/>
    <w:rsid w:val="00372ED0"/>
    <w:rsid w:val="00382365"/>
    <w:rsid w:val="00383FB8"/>
    <w:rsid w:val="00385695"/>
    <w:rsid w:val="003859CF"/>
    <w:rsid w:val="00393A12"/>
    <w:rsid w:val="00395BB3"/>
    <w:rsid w:val="0039617E"/>
    <w:rsid w:val="003A3032"/>
    <w:rsid w:val="003A5504"/>
    <w:rsid w:val="003A5E08"/>
    <w:rsid w:val="003A737D"/>
    <w:rsid w:val="003B0B41"/>
    <w:rsid w:val="003B2783"/>
    <w:rsid w:val="003B7603"/>
    <w:rsid w:val="003C0058"/>
    <w:rsid w:val="003C3451"/>
    <w:rsid w:val="003C35C4"/>
    <w:rsid w:val="003C61A9"/>
    <w:rsid w:val="003C6E28"/>
    <w:rsid w:val="003C6EF4"/>
    <w:rsid w:val="003D196E"/>
    <w:rsid w:val="003D4727"/>
    <w:rsid w:val="003D6CA0"/>
    <w:rsid w:val="003E2556"/>
    <w:rsid w:val="003E3EA6"/>
    <w:rsid w:val="003E6B12"/>
    <w:rsid w:val="003F1FAB"/>
    <w:rsid w:val="003F3F7A"/>
    <w:rsid w:val="003F4BE2"/>
    <w:rsid w:val="003F6107"/>
    <w:rsid w:val="003F6B95"/>
    <w:rsid w:val="004027F4"/>
    <w:rsid w:val="00404E1A"/>
    <w:rsid w:val="00406391"/>
    <w:rsid w:val="00413103"/>
    <w:rsid w:val="0041452E"/>
    <w:rsid w:val="00415B29"/>
    <w:rsid w:val="00416171"/>
    <w:rsid w:val="00417018"/>
    <w:rsid w:val="00417F29"/>
    <w:rsid w:val="0042003B"/>
    <w:rsid w:val="0042353D"/>
    <w:rsid w:val="0043500B"/>
    <w:rsid w:val="00440535"/>
    <w:rsid w:val="0044314A"/>
    <w:rsid w:val="0044577F"/>
    <w:rsid w:val="00447B26"/>
    <w:rsid w:val="00447B75"/>
    <w:rsid w:val="004516EF"/>
    <w:rsid w:val="004519CB"/>
    <w:rsid w:val="004559A6"/>
    <w:rsid w:val="00456722"/>
    <w:rsid w:val="004575D6"/>
    <w:rsid w:val="00461B26"/>
    <w:rsid w:val="00462234"/>
    <w:rsid w:val="004629D9"/>
    <w:rsid w:val="00463CF1"/>
    <w:rsid w:val="00464D5B"/>
    <w:rsid w:val="004726C5"/>
    <w:rsid w:val="00476CBF"/>
    <w:rsid w:val="004770EF"/>
    <w:rsid w:val="00483910"/>
    <w:rsid w:val="004870C8"/>
    <w:rsid w:val="004912BD"/>
    <w:rsid w:val="00493706"/>
    <w:rsid w:val="004963F1"/>
    <w:rsid w:val="004A01CF"/>
    <w:rsid w:val="004A171F"/>
    <w:rsid w:val="004A2D6D"/>
    <w:rsid w:val="004A3718"/>
    <w:rsid w:val="004A49F9"/>
    <w:rsid w:val="004A53FE"/>
    <w:rsid w:val="004A5C43"/>
    <w:rsid w:val="004A6845"/>
    <w:rsid w:val="004B06C6"/>
    <w:rsid w:val="004B1C07"/>
    <w:rsid w:val="004B5296"/>
    <w:rsid w:val="004B5673"/>
    <w:rsid w:val="004B6390"/>
    <w:rsid w:val="004B717B"/>
    <w:rsid w:val="004C29C1"/>
    <w:rsid w:val="004C4DF1"/>
    <w:rsid w:val="004D0CE6"/>
    <w:rsid w:val="004D2503"/>
    <w:rsid w:val="004D2778"/>
    <w:rsid w:val="004D2D80"/>
    <w:rsid w:val="004D521B"/>
    <w:rsid w:val="004D54F9"/>
    <w:rsid w:val="004D58A9"/>
    <w:rsid w:val="004D652F"/>
    <w:rsid w:val="004D6E21"/>
    <w:rsid w:val="004D7726"/>
    <w:rsid w:val="004D79B4"/>
    <w:rsid w:val="004E0D45"/>
    <w:rsid w:val="004E0E9D"/>
    <w:rsid w:val="004E27A0"/>
    <w:rsid w:val="004E489B"/>
    <w:rsid w:val="004E588F"/>
    <w:rsid w:val="004F01E7"/>
    <w:rsid w:val="004F2BF6"/>
    <w:rsid w:val="004F3926"/>
    <w:rsid w:val="004F46EE"/>
    <w:rsid w:val="004F6C2C"/>
    <w:rsid w:val="00504B93"/>
    <w:rsid w:val="00511F19"/>
    <w:rsid w:val="00517E32"/>
    <w:rsid w:val="0052072E"/>
    <w:rsid w:val="00520F9F"/>
    <w:rsid w:val="00521A82"/>
    <w:rsid w:val="005222C1"/>
    <w:rsid w:val="00522E12"/>
    <w:rsid w:val="005233E0"/>
    <w:rsid w:val="00523BE1"/>
    <w:rsid w:val="0052642D"/>
    <w:rsid w:val="00531C84"/>
    <w:rsid w:val="00532B31"/>
    <w:rsid w:val="00536F48"/>
    <w:rsid w:val="00540E33"/>
    <w:rsid w:val="00542B49"/>
    <w:rsid w:val="005435ED"/>
    <w:rsid w:val="00544D4C"/>
    <w:rsid w:val="00545B43"/>
    <w:rsid w:val="00546F94"/>
    <w:rsid w:val="00551537"/>
    <w:rsid w:val="00551B42"/>
    <w:rsid w:val="00552722"/>
    <w:rsid w:val="00552CC1"/>
    <w:rsid w:val="005533A8"/>
    <w:rsid w:val="00553962"/>
    <w:rsid w:val="0055468D"/>
    <w:rsid w:val="00554836"/>
    <w:rsid w:val="0055663F"/>
    <w:rsid w:val="00556A3F"/>
    <w:rsid w:val="005627C1"/>
    <w:rsid w:val="005652A9"/>
    <w:rsid w:val="005662BE"/>
    <w:rsid w:val="00574C75"/>
    <w:rsid w:val="005823C4"/>
    <w:rsid w:val="00582F37"/>
    <w:rsid w:val="005901B2"/>
    <w:rsid w:val="0059332B"/>
    <w:rsid w:val="00594BF6"/>
    <w:rsid w:val="0059532F"/>
    <w:rsid w:val="005A27D0"/>
    <w:rsid w:val="005A5BF6"/>
    <w:rsid w:val="005A6197"/>
    <w:rsid w:val="005A6B85"/>
    <w:rsid w:val="005B3A96"/>
    <w:rsid w:val="005B75A9"/>
    <w:rsid w:val="005C0DA1"/>
    <w:rsid w:val="005C10C4"/>
    <w:rsid w:val="005C17E8"/>
    <w:rsid w:val="005C2297"/>
    <w:rsid w:val="005C5ACC"/>
    <w:rsid w:val="005C73FD"/>
    <w:rsid w:val="005C77E2"/>
    <w:rsid w:val="005D118B"/>
    <w:rsid w:val="005D2877"/>
    <w:rsid w:val="005D4283"/>
    <w:rsid w:val="005D5D36"/>
    <w:rsid w:val="005D6D98"/>
    <w:rsid w:val="005D7573"/>
    <w:rsid w:val="005E14A7"/>
    <w:rsid w:val="005E1862"/>
    <w:rsid w:val="005E53B5"/>
    <w:rsid w:val="005E58AB"/>
    <w:rsid w:val="005F1AC7"/>
    <w:rsid w:val="005F6B54"/>
    <w:rsid w:val="005F7097"/>
    <w:rsid w:val="006005C1"/>
    <w:rsid w:val="0060268C"/>
    <w:rsid w:val="00602857"/>
    <w:rsid w:val="0060490E"/>
    <w:rsid w:val="006065B9"/>
    <w:rsid w:val="006131A6"/>
    <w:rsid w:val="00613C7F"/>
    <w:rsid w:val="00616669"/>
    <w:rsid w:val="00616A04"/>
    <w:rsid w:val="00617470"/>
    <w:rsid w:val="00617A92"/>
    <w:rsid w:val="00621039"/>
    <w:rsid w:val="00622EAD"/>
    <w:rsid w:val="00624D34"/>
    <w:rsid w:val="00625FBD"/>
    <w:rsid w:val="006302FD"/>
    <w:rsid w:val="00632C21"/>
    <w:rsid w:val="00634EDC"/>
    <w:rsid w:val="00636AB4"/>
    <w:rsid w:val="00640425"/>
    <w:rsid w:val="00643196"/>
    <w:rsid w:val="00643693"/>
    <w:rsid w:val="0064710C"/>
    <w:rsid w:val="00647C58"/>
    <w:rsid w:val="00650EAF"/>
    <w:rsid w:val="00654F82"/>
    <w:rsid w:val="00656BA0"/>
    <w:rsid w:val="00656DD4"/>
    <w:rsid w:val="00664A6B"/>
    <w:rsid w:val="00665433"/>
    <w:rsid w:val="006718BA"/>
    <w:rsid w:val="00675AF3"/>
    <w:rsid w:val="00680C5F"/>
    <w:rsid w:val="00683F31"/>
    <w:rsid w:val="00687493"/>
    <w:rsid w:val="0068773A"/>
    <w:rsid w:val="006911C9"/>
    <w:rsid w:val="00691A55"/>
    <w:rsid w:val="00695868"/>
    <w:rsid w:val="00696258"/>
    <w:rsid w:val="00696935"/>
    <w:rsid w:val="006A125E"/>
    <w:rsid w:val="006A12A2"/>
    <w:rsid w:val="006A13AE"/>
    <w:rsid w:val="006A2C16"/>
    <w:rsid w:val="006A509B"/>
    <w:rsid w:val="006B1BFA"/>
    <w:rsid w:val="006B2A24"/>
    <w:rsid w:val="006B7A21"/>
    <w:rsid w:val="006B7EB0"/>
    <w:rsid w:val="006C2214"/>
    <w:rsid w:val="006C2C35"/>
    <w:rsid w:val="006C3D48"/>
    <w:rsid w:val="006C63A5"/>
    <w:rsid w:val="006C7012"/>
    <w:rsid w:val="006D083D"/>
    <w:rsid w:val="006D4BCD"/>
    <w:rsid w:val="006D66BC"/>
    <w:rsid w:val="006D6881"/>
    <w:rsid w:val="006E2869"/>
    <w:rsid w:val="006E5DF4"/>
    <w:rsid w:val="006E7662"/>
    <w:rsid w:val="006F0508"/>
    <w:rsid w:val="006F28D5"/>
    <w:rsid w:val="006F51EA"/>
    <w:rsid w:val="006F5675"/>
    <w:rsid w:val="006F5998"/>
    <w:rsid w:val="006F621F"/>
    <w:rsid w:val="006F67FB"/>
    <w:rsid w:val="00702AC5"/>
    <w:rsid w:val="00705CF5"/>
    <w:rsid w:val="00710A69"/>
    <w:rsid w:val="007153A8"/>
    <w:rsid w:val="0071611B"/>
    <w:rsid w:val="00716768"/>
    <w:rsid w:val="007224A0"/>
    <w:rsid w:val="00724526"/>
    <w:rsid w:val="00726C80"/>
    <w:rsid w:val="0073003A"/>
    <w:rsid w:val="00730099"/>
    <w:rsid w:val="00733F2C"/>
    <w:rsid w:val="00734846"/>
    <w:rsid w:val="00734F5B"/>
    <w:rsid w:val="00742E99"/>
    <w:rsid w:val="0075E107"/>
    <w:rsid w:val="007603DD"/>
    <w:rsid w:val="00761004"/>
    <w:rsid w:val="007616E4"/>
    <w:rsid w:val="00761834"/>
    <w:rsid w:val="00761E4E"/>
    <w:rsid w:val="00763D20"/>
    <w:rsid w:val="00764349"/>
    <w:rsid w:val="0076493C"/>
    <w:rsid w:val="007654A1"/>
    <w:rsid w:val="00765B5B"/>
    <w:rsid w:val="00770530"/>
    <w:rsid w:val="00771312"/>
    <w:rsid w:val="007719E7"/>
    <w:rsid w:val="00772D24"/>
    <w:rsid w:val="007730A0"/>
    <w:rsid w:val="007731D8"/>
    <w:rsid w:val="00775987"/>
    <w:rsid w:val="00776A57"/>
    <w:rsid w:val="00783143"/>
    <w:rsid w:val="00785BC9"/>
    <w:rsid w:val="00786CD7"/>
    <w:rsid w:val="00787C4F"/>
    <w:rsid w:val="0079074C"/>
    <w:rsid w:val="007911DA"/>
    <w:rsid w:val="00792B8A"/>
    <w:rsid w:val="00793637"/>
    <w:rsid w:val="0079432F"/>
    <w:rsid w:val="007946F3"/>
    <w:rsid w:val="00794E73"/>
    <w:rsid w:val="0079566A"/>
    <w:rsid w:val="00797DCD"/>
    <w:rsid w:val="007A096E"/>
    <w:rsid w:val="007A195E"/>
    <w:rsid w:val="007A6AE2"/>
    <w:rsid w:val="007B6155"/>
    <w:rsid w:val="007D04B6"/>
    <w:rsid w:val="007D156D"/>
    <w:rsid w:val="007D49F0"/>
    <w:rsid w:val="007D6C8E"/>
    <w:rsid w:val="007D78DA"/>
    <w:rsid w:val="007E0152"/>
    <w:rsid w:val="007E0573"/>
    <w:rsid w:val="007E167A"/>
    <w:rsid w:val="007E2CB2"/>
    <w:rsid w:val="007E6274"/>
    <w:rsid w:val="007F25CC"/>
    <w:rsid w:val="007F3C1E"/>
    <w:rsid w:val="007F67EC"/>
    <w:rsid w:val="00800E1F"/>
    <w:rsid w:val="008010BC"/>
    <w:rsid w:val="00801AB1"/>
    <w:rsid w:val="008021E7"/>
    <w:rsid w:val="00807085"/>
    <w:rsid w:val="008100FD"/>
    <w:rsid w:val="008119E9"/>
    <w:rsid w:val="00815C73"/>
    <w:rsid w:val="00822477"/>
    <w:rsid w:val="00822C29"/>
    <w:rsid w:val="00827671"/>
    <w:rsid w:val="00833DC7"/>
    <w:rsid w:val="008341C8"/>
    <w:rsid w:val="0083746B"/>
    <w:rsid w:val="00837B14"/>
    <w:rsid w:val="008429B6"/>
    <w:rsid w:val="0084451E"/>
    <w:rsid w:val="00846105"/>
    <w:rsid w:val="00846648"/>
    <w:rsid w:val="00846771"/>
    <w:rsid w:val="00851A57"/>
    <w:rsid w:val="00852D4A"/>
    <w:rsid w:val="008602F2"/>
    <w:rsid w:val="00863344"/>
    <w:rsid w:val="00864473"/>
    <w:rsid w:val="008648CD"/>
    <w:rsid w:val="008663EF"/>
    <w:rsid w:val="0087292C"/>
    <w:rsid w:val="00872CA7"/>
    <w:rsid w:val="00875C89"/>
    <w:rsid w:val="0087685F"/>
    <w:rsid w:val="00876F7B"/>
    <w:rsid w:val="0088278E"/>
    <w:rsid w:val="008840FC"/>
    <w:rsid w:val="00884454"/>
    <w:rsid w:val="00885CDE"/>
    <w:rsid w:val="00887499"/>
    <w:rsid w:val="008928E0"/>
    <w:rsid w:val="008945C8"/>
    <w:rsid w:val="00894F40"/>
    <w:rsid w:val="00896464"/>
    <w:rsid w:val="00897ACB"/>
    <w:rsid w:val="00897D15"/>
    <w:rsid w:val="008A4960"/>
    <w:rsid w:val="008A6D53"/>
    <w:rsid w:val="008B26AD"/>
    <w:rsid w:val="008B38D0"/>
    <w:rsid w:val="008B5419"/>
    <w:rsid w:val="008B5C23"/>
    <w:rsid w:val="008B78A7"/>
    <w:rsid w:val="008C1173"/>
    <w:rsid w:val="008C359E"/>
    <w:rsid w:val="008C3B42"/>
    <w:rsid w:val="008C4657"/>
    <w:rsid w:val="008C57DF"/>
    <w:rsid w:val="008C6226"/>
    <w:rsid w:val="008D1198"/>
    <w:rsid w:val="008D25C3"/>
    <w:rsid w:val="008D2FCA"/>
    <w:rsid w:val="008D3E38"/>
    <w:rsid w:val="008E00D7"/>
    <w:rsid w:val="008E7A20"/>
    <w:rsid w:val="008F01FB"/>
    <w:rsid w:val="008F22F5"/>
    <w:rsid w:val="009002D1"/>
    <w:rsid w:val="00900AF2"/>
    <w:rsid w:val="00900DAB"/>
    <w:rsid w:val="0090132A"/>
    <w:rsid w:val="009022DC"/>
    <w:rsid w:val="0090785D"/>
    <w:rsid w:val="009136C6"/>
    <w:rsid w:val="00913F10"/>
    <w:rsid w:val="00913F97"/>
    <w:rsid w:val="00914525"/>
    <w:rsid w:val="00915E9D"/>
    <w:rsid w:val="00923F57"/>
    <w:rsid w:val="00923F84"/>
    <w:rsid w:val="00924842"/>
    <w:rsid w:val="00926B5F"/>
    <w:rsid w:val="00926DD5"/>
    <w:rsid w:val="0093163A"/>
    <w:rsid w:val="009413A6"/>
    <w:rsid w:val="00943558"/>
    <w:rsid w:val="00944D12"/>
    <w:rsid w:val="009454A9"/>
    <w:rsid w:val="00945B79"/>
    <w:rsid w:val="009465FF"/>
    <w:rsid w:val="00950B71"/>
    <w:rsid w:val="00950E6A"/>
    <w:rsid w:val="00951348"/>
    <w:rsid w:val="009546EA"/>
    <w:rsid w:val="0095606A"/>
    <w:rsid w:val="0096117C"/>
    <w:rsid w:val="00962D6E"/>
    <w:rsid w:val="0096382C"/>
    <w:rsid w:val="00964F0F"/>
    <w:rsid w:val="00965141"/>
    <w:rsid w:val="00970F3C"/>
    <w:rsid w:val="009711C9"/>
    <w:rsid w:val="00971A2B"/>
    <w:rsid w:val="00972BC0"/>
    <w:rsid w:val="009744D5"/>
    <w:rsid w:val="0097513E"/>
    <w:rsid w:val="00976457"/>
    <w:rsid w:val="00981C1F"/>
    <w:rsid w:val="0098201D"/>
    <w:rsid w:val="009916DF"/>
    <w:rsid w:val="00994C1F"/>
    <w:rsid w:val="0099764B"/>
    <w:rsid w:val="009A037F"/>
    <w:rsid w:val="009A0A4E"/>
    <w:rsid w:val="009A11C5"/>
    <w:rsid w:val="009A1C30"/>
    <w:rsid w:val="009A760F"/>
    <w:rsid w:val="009B0B6B"/>
    <w:rsid w:val="009B12FA"/>
    <w:rsid w:val="009B36CA"/>
    <w:rsid w:val="009B5BA6"/>
    <w:rsid w:val="009B7A8E"/>
    <w:rsid w:val="009C1FB8"/>
    <w:rsid w:val="009C2A13"/>
    <w:rsid w:val="009C3CD9"/>
    <w:rsid w:val="009C67A0"/>
    <w:rsid w:val="009C7B9B"/>
    <w:rsid w:val="009CCDCE"/>
    <w:rsid w:val="009D293D"/>
    <w:rsid w:val="009D361C"/>
    <w:rsid w:val="009E1772"/>
    <w:rsid w:val="009E395D"/>
    <w:rsid w:val="009E3B4D"/>
    <w:rsid w:val="009E57E8"/>
    <w:rsid w:val="009E711F"/>
    <w:rsid w:val="009E7B17"/>
    <w:rsid w:val="009F1178"/>
    <w:rsid w:val="009F1324"/>
    <w:rsid w:val="009F265D"/>
    <w:rsid w:val="009F3B7F"/>
    <w:rsid w:val="009F6F53"/>
    <w:rsid w:val="00A0023C"/>
    <w:rsid w:val="00A05049"/>
    <w:rsid w:val="00A13417"/>
    <w:rsid w:val="00A15743"/>
    <w:rsid w:val="00A21B5B"/>
    <w:rsid w:val="00A232B0"/>
    <w:rsid w:val="00A247E3"/>
    <w:rsid w:val="00A3012D"/>
    <w:rsid w:val="00A334F9"/>
    <w:rsid w:val="00A33DA6"/>
    <w:rsid w:val="00A4565C"/>
    <w:rsid w:val="00A4582D"/>
    <w:rsid w:val="00A52C02"/>
    <w:rsid w:val="00A560EC"/>
    <w:rsid w:val="00A56A26"/>
    <w:rsid w:val="00A60ADF"/>
    <w:rsid w:val="00A6257B"/>
    <w:rsid w:val="00A625B2"/>
    <w:rsid w:val="00A62992"/>
    <w:rsid w:val="00A62DC4"/>
    <w:rsid w:val="00A64D5E"/>
    <w:rsid w:val="00A6665E"/>
    <w:rsid w:val="00A67F59"/>
    <w:rsid w:val="00A724EF"/>
    <w:rsid w:val="00A731AA"/>
    <w:rsid w:val="00A76206"/>
    <w:rsid w:val="00A82D74"/>
    <w:rsid w:val="00A84218"/>
    <w:rsid w:val="00A85FA9"/>
    <w:rsid w:val="00A871DB"/>
    <w:rsid w:val="00A90A10"/>
    <w:rsid w:val="00A92225"/>
    <w:rsid w:val="00A938E3"/>
    <w:rsid w:val="00AA6903"/>
    <w:rsid w:val="00AB0446"/>
    <w:rsid w:val="00AB1892"/>
    <w:rsid w:val="00AB27C9"/>
    <w:rsid w:val="00AB35E1"/>
    <w:rsid w:val="00AB4445"/>
    <w:rsid w:val="00AB49ED"/>
    <w:rsid w:val="00AB53CB"/>
    <w:rsid w:val="00AB5D28"/>
    <w:rsid w:val="00AC1B99"/>
    <w:rsid w:val="00AC3A13"/>
    <w:rsid w:val="00AC4EAD"/>
    <w:rsid w:val="00AD0FEB"/>
    <w:rsid w:val="00AD31A8"/>
    <w:rsid w:val="00AE07BA"/>
    <w:rsid w:val="00AE2203"/>
    <w:rsid w:val="00AE3D66"/>
    <w:rsid w:val="00AE7BA3"/>
    <w:rsid w:val="00AF103C"/>
    <w:rsid w:val="00AF1AFE"/>
    <w:rsid w:val="00AF2BE8"/>
    <w:rsid w:val="00AF3432"/>
    <w:rsid w:val="00AF40BC"/>
    <w:rsid w:val="00AF5DFA"/>
    <w:rsid w:val="00B03C47"/>
    <w:rsid w:val="00B04070"/>
    <w:rsid w:val="00B04C36"/>
    <w:rsid w:val="00B05DA8"/>
    <w:rsid w:val="00B07F76"/>
    <w:rsid w:val="00B13434"/>
    <w:rsid w:val="00B1592C"/>
    <w:rsid w:val="00B205C0"/>
    <w:rsid w:val="00B2227C"/>
    <w:rsid w:val="00B22CB7"/>
    <w:rsid w:val="00B22F8A"/>
    <w:rsid w:val="00B23065"/>
    <w:rsid w:val="00B23630"/>
    <w:rsid w:val="00B2760F"/>
    <w:rsid w:val="00B2775D"/>
    <w:rsid w:val="00B27B2A"/>
    <w:rsid w:val="00B27C4B"/>
    <w:rsid w:val="00B328C3"/>
    <w:rsid w:val="00B32A41"/>
    <w:rsid w:val="00B33FAF"/>
    <w:rsid w:val="00B3469E"/>
    <w:rsid w:val="00B37322"/>
    <w:rsid w:val="00B40957"/>
    <w:rsid w:val="00B46B9B"/>
    <w:rsid w:val="00B478FC"/>
    <w:rsid w:val="00B52CF8"/>
    <w:rsid w:val="00B61812"/>
    <w:rsid w:val="00B64EAB"/>
    <w:rsid w:val="00B7079A"/>
    <w:rsid w:val="00B711F3"/>
    <w:rsid w:val="00B71F4B"/>
    <w:rsid w:val="00B74267"/>
    <w:rsid w:val="00B75211"/>
    <w:rsid w:val="00B75282"/>
    <w:rsid w:val="00B76DF7"/>
    <w:rsid w:val="00B8638C"/>
    <w:rsid w:val="00B86571"/>
    <w:rsid w:val="00B87E8D"/>
    <w:rsid w:val="00B90232"/>
    <w:rsid w:val="00B905DE"/>
    <w:rsid w:val="00B90F6F"/>
    <w:rsid w:val="00B95563"/>
    <w:rsid w:val="00B97851"/>
    <w:rsid w:val="00B97CCD"/>
    <w:rsid w:val="00BA0A24"/>
    <w:rsid w:val="00BA0BD0"/>
    <w:rsid w:val="00BA1DDE"/>
    <w:rsid w:val="00BA2533"/>
    <w:rsid w:val="00BA2A1C"/>
    <w:rsid w:val="00BA3D18"/>
    <w:rsid w:val="00BA4515"/>
    <w:rsid w:val="00BA499E"/>
    <w:rsid w:val="00BA6C1F"/>
    <w:rsid w:val="00BB0A7B"/>
    <w:rsid w:val="00BC2039"/>
    <w:rsid w:val="00BC21D4"/>
    <w:rsid w:val="00BC4632"/>
    <w:rsid w:val="00BD5A36"/>
    <w:rsid w:val="00BD62E2"/>
    <w:rsid w:val="00BE1509"/>
    <w:rsid w:val="00BE4733"/>
    <w:rsid w:val="00BF1F68"/>
    <w:rsid w:val="00BF3E5F"/>
    <w:rsid w:val="00BF7BBC"/>
    <w:rsid w:val="00C07066"/>
    <w:rsid w:val="00C17506"/>
    <w:rsid w:val="00C212F3"/>
    <w:rsid w:val="00C25AF6"/>
    <w:rsid w:val="00C27148"/>
    <w:rsid w:val="00C30640"/>
    <w:rsid w:val="00C313B3"/>
    <w:rsid w:val="00C31DBB"/>
    <w:rsid w:val="00C328F0"/>
    <w:rsid w:val="00C33E42"/>
    <w:rsid w:val="00C34A40"/>
    <w:rsid w:val="00C34BE0"/>
    <w:rsid w:val="00C35C84"/>
    <w:rsid w:val="00C35F14"/>
    <w:rsid w:val="00C36474"/>
    <w:rsid w:val="00C37863"/>
    <w:rsid w:val="00C42A6F"/>
    <w:rsid w:val="00C43940"/>
    <w:rsid w:val="00C44855"/>
    <w:rsid w:val="00C452E2"/>
    <w:rsid w:val="00C45568"/>
    <w:rsid w:val="00C46184"/>
    <w:rsid w:val="00C47647"/>
    <w:rsid w:val="00C5034E"/>
    <w:rsid w:val="00C508FA"/>
    <w:rsid w:val="00C50B5E"/>
    <w:rsid w:val="00C52009"/>
    <w:rsid w:val="00C54B9F"/>
    <w:rsid w:val="00C56080"/>
    <w:rsid w:val="00C6014F"/>
    <w:rsid w:val="00C60691"/>
    <w:rsid w:val="00C61C7F"/>
    <w:rsid w:val="00C64F1F"/>
    <w:rsid w:val="00C66E2A"/>
    <w:rsid w:val="00C7272D"/>
    <w:rsid w:val="00C76355"/>
    <w:rsid w:val="00C80B94"/>
    <w:rsid w:val="00C81D1C"/>
    <w:rsid w:val="00C82BF7"/>
    <w:rsid w:val="00C83653"/>
    <w:rsid w:val="00C84382"/>
    <w:rsid w:val="00C9361C"/>
    <w:rsid w:val="00C93B28"/>
    <w:rsid w:val="00C94CE3"/>
    <w:rsid w:val="00C95ECB"/>
    <w:rsid w:val="00C9629B"/>
    <w:rsid w:val="00C97FB6"/>
    <w:rsid w:val="00CA0473"/>
    <w:rsid w:val="00CA1F0F"/>
    <w:rsid w:val="00CA7BA0"/>
    <w:rsid w:val="00CB0BFE"/>
    <w:rsid w:val="00CB4B28"/>
    <w:rsid w:val="00CB6139"/>
    <w:rsid w:val="00CB6AC3"/>
    <w:rsid w:val="00CC4F49"/>
    <w:rsid w:val="00CC6752"/>
    <w:rsid w:val="00CD253B"/>
    <w:rsid w:val="00CD7A65"/>
    <w:rsid w:val="00CD7D6C"/>
    <w:rsid w:val="00CE06A7"/>
    <w:rsid w:val="00CE0845"/>
    <w:rsid w:val="00CE2B30"/>
    <w:rsid w:val="00CE3D54"/>
    <w:rsid w:val="00CE4C71"/>
    <w:rsid w:val="00CE60F0"/>
    <w:rsid w:val="00CF257D"/>
    <w:rsid w:val="00CF4BFA"/>
    <w:rsid w:val="00CF6A75"/>
    <w:rsid w:val="00CF6B3E"/>
    <w:rsid w:val="00D020A4"/>
    <w:rsid w:val="00D0585D"/>
    <w:rsid w:val="00D05D39"/>
    <w:rsid w:val="00D074E1"/>
    <w:rsid w:val="00D077E3"/>
    <w:rsid w:val="00D14185"/>
    <w:rsid w:val="00D20810"/>
    <w:rsid w:val="00D20989"/>
    <w:rsid w:val="00D22349"/>
    <w:rsid w:val="00D23414"/>
    <w:rsid w:val="00D310D6"/>
    <w:rsid w:val="00D3199B"/>
    <w:rsid w:val="00D321D5"/>
    <w:rsid w:val="00D3382B"/>
    <w:rsid w:val="00D33DD6"/>
    <w:rsid w:val="00D4725C"/>
    <w:rsid w:val="00D477AD"/>
    <w:rsid w:val="00D508D0"/>
    <w:rsid w:val="00D516E6"/>
    <w:rsid w:val="00D565A9"/>
    <w:rsid w:val="00D60BD3"/>
    <w:rsid w:val="00D62955"/>
    <w:rsid w:val="00D633C6"/>
    <w:rsid w:val="00D63990"/>
    <w:rsid w:val="00D662C9"/>
    <w:rsid w:val="00D72A0A"/>
    <w:rsid w:val="00D72FBA"/>
    <w:rsid w:val="00D832B6"/>
    <w:rsid w:val="00D84E40"/>
    <w:rsid w:val="00D85C50"/>
    <w:rsid w:val="00D86BCD"/>
    <w:rsid w:val="00D907E6"/>
    <w:rsid w:val="00D91FA6"/>
    <w:rsid w:val="00D92742"/>
    <w:rsid w:val="00D932A0"/>
    <w:rsid w:val="00D95DE7"/>
    <w:rsid w:val="00DA178C"/>
    <w:rsid w:val="00DA3D31"/>
    <w:rsid w:val="00DA526E"/>
    <w:rsid w:val="00DA6F3F"/>
    <w:rsid w:val="00DA709C"/>
    <w:rsid w:val="00DB41DF"/>
    <w:rsid w:val="00DB68D1"/>
    <w:rsid w:val="00DC1AC3"/>
    <w:rsid w:val="00DC5364"/>
    <w:rsid w:val="00DC5C9C"/>
    <w:rsid w:val="00DC68FB"/>
    <w:rsid w:val="00DC7F97"/>
    <w:rsid w:val="00DD112C"/>
    <w:rsid w:val="00DD1881"/>
    <w:rsid w:val="00DD2DE7"/>
    <w:rsid w:val="00DD37E5"/>
    <w:rsid w:val="00DD3DA1"/>
    <w:rsid w:val="00DD610E"/>
    <w:rsid w:val="00DD6730"/>
    <w:rsid w:val="00DD75A8"/>
    <w:rsid w:val="00DE27F1"/>
    <w:rsid w:val="00DE45C3"/>
    <w:rsid w:val="00DE6092"/>
    <w:rsid w:val="00DF029B"/>
    <w:rsid w:val="00DF1639"/>
    <w:rsid w:val="00DF21AE"/>
    <w:rsid w:val="00DF293F"/>
    <w:rsid w:val="00DF42FD"/>
    <w:rsid w:val="00DF53AB"/>
    <w:rsid w:val="00DF7A8D"/>
    <w:rsid w:val="00E008A6"/>
    <w:rsid w:val="00E017A4"/>
    <w:rsid w:val="00E03334"/>
    <w:rsid w:val="00E043DB"/>
    <w:rsid w:val="00E05675"/>
    <w:rsid w:val="00E07C37"/>
    <w:rsid w:val="00E12A06"/>
    <w:rsid w:val="00E147AE"/>
    <w:rsid w:val="00E14F9F"/>
    <w:rsid w:val="00E20A81"/>
    <w:rsid w:val="00E21CE0"/>
    <w:rsid w:val="00E255E4"/>
    <w:rsid w:val="00E25753"/>
    <w:rsid w:val="00E272B4"/>
    <w:rsid w:val="00E33016"/>
    <w:rsid w:val="00E3459E"/>
    <w:rsid w:val="00E358CF"/>
    <w:rsid w:val="00E37516"/>
    <w:rsid w:val="00E41AC3"/>
    <w:rsid w:val="00E4273D"/>
    <w:rsid w:val="00E45DB2"/>
    <w:rsid w:val="00E469BA"/>
    <w:rsid w:val="00E47B55"/>
    <w:rsid w:val="00E506AD"/>
    <w:rsid w:val="00E53A02"/>
    <w:rsid w:val="00E57CAE"/>
    <w:rsid w:val="00E60CDD"/>
    <w:rsid w:val="00E6176D"/>
    <w:rsid w:val="00E64498"/>
    <w:rsid w:val="00E71390"/>
    <w:rsid w:val="00E748FA"/>
    <w:rsid w:val="00E820B6"/>
    <w:rsid w:val="00E96320"/>
    <w:rsid w:val="00EA3F9D"/>
    <w:rsid w:val="00EA3FDD"/>
    <w:rsid w:val="00EA44A1"/>
    <w:rsid w:val="00EA5844"/>
    <w:rsid w:val="00EA5EB9"/>
    <w:rsid w:val="00EB0CEA"/>
    <w:rsid w:val="00EB4430"/>
    <w:rsid w:val="00EB5A54"/>
    <w:rsid w:val="00EB5E8E"/>
    <w:rsid w:val="00EC4B89"/>
    <w:rsid w:val="00ED005A"/>
    <w:rsid w:val="00ED021F"/>
    <w:rsid w:val="00ED1C3A"/>
    <w:rsid w:val="00ED1CB9"/>
    <w:rsid w:val="00ED2C5B"/>
    <w:rsid w:val="00ED5DB2"/>
    <w:rsid w:val="00ED7379"/>
    <w:rsid w:val="00EE1D5A"/>
    <w:rsid w:val="00EE2AD0"/>
    <w:rsid w:val="00EE4733"/>
    <w:rsid w:val="00EE50CD"/>
    <w:rsid w:val="00EF09BA"/>
    <w:rsid w:val="00EF1872"/>
    <w:rsid w:val="00EF34E6"/>
    <w:rsid w:val="00EF39FD"/>
    <w:rsid w:val="00EF5CB2"/>
    <w:rsid w:val="00EF728D"/>
    <w:rsid w:val="00F04D6F"/>
    <w:rsid w:val="00F2177E"/>
    <w:rsid w:val="00F21C13"/>
    <w:rsid w:val="00F21CA6"/>
    <w:rsid w:val="00F22003"/>
    <w:rsid w:val="00F230FC"/>
    <w:rsid w:val="00F24814"/>
    <w:rsid w:val="00F25378"/>
    <w:rsid w:val="00F3292F"/>
    <w:rsid w:val="00F34AF4"/>
    <w:rsid w:val="00F34C78"/>
    <w:rsid w:val="00F40D04"/>
    <w:rsid w:val="00F42605"/>
    <w:rsid w:val="00F42E39"/>
    <w:rsid w:val="00F4329F"/>
    <w:rsid w:val="00F52508"/>
    <w:rsid w:val="00F53C23"/>
    <w:rsid w:val="00F617A5"/>
    <w:rsid w:val="00F64F7D"/>
    <w:rsid w:val="00F66202"/>
    <w:rsid w:val="00F66319"/>
    <w:rsid w:val="00F66E49"/>
    <w:rsid w:val="00F76968"/>
    <w:rsid w:val="00F82966"/>
    <w:rsid w:val="00F82E0B"/>
    <w:rsid w:val="00F84CCC"/>
    <w:rsid w:val="00F86580"/>
    <w:rsid w:val="00F86FFC"/>
    <w:rsid w:val="00F875CC"/>
    <w:rsid w:val="00F87CB5"/>
    <w:rsid w:val="00FA0440"/>
    <w:rsid w:val="00FA4933"/>
    <w:rsid w:val="00FA546F"/>
    <w:rsid w:val="00FB020A"/>
    <w:rsid w:val="00FB1FFF"/>
    <w:rsid w:val="00FB22C5"/>
    <w:rsid w:val="00FB42AF"/>
    <w:rsid w:val="00FD1817"/>
    <w:rsid w:val="00FD27B1"/>
    <w:rsid w:val="00FD6770"/>
    <w:rsid w:val="00FE3275"/>
    <w:rsid w:val="00FE4A49"/>
    <w:rsid w:val="00FE5189"/>
    <w:rsid w:val="00FE55AB"/>
    <w:rsid w:val="00FE638D"/>
    <w:rsid w:val="00FEA081"/>
    <w:rsid w:val="00FF3763"/>
    <w:rsid w:val="00FF4C0C"/>
    <w:rsid w:val="00FF6841"/>
    <w:rsid w:val="00FF6A0B"/>
    <w:rsid w:val="00FF6A44"/>
    <w:rsid w:val="00FF7A71"/>
    <w:rsid w:val="0107134E"/>
    <w:rsid w:val="0111ED40"/>
    <w:rsid w:val="013AD832"/>
    <w:rsid w:val="0207DFD9"/>
    <w:rsid w:val="0210D1AD"/>
    <w:rsid w:val="02571248"/>
    <w:rsid w:val="0267CF6B"/>
    <w:rsid w:val="02E92E43"/>
    <w:rsid w:val="0318FF94"/>
    <w:rsid w:val="037981B1"/>
    <w:rsid w:val="0398B9D6"/>
    <w:rsid w:val="03DD5BBA"/>
    <w:rsid w:val="04077545"/>
    <w:rsid w:val="048AA3D8"/>
    <w:rsid w:val="04C5E100"/>
    <w:rsid w:val="04D972B4"/>
    <w:rsid w:val="04E74AE0"/>
    <w:rsid w:val="05335C0D"/>
    <w:rsid w:val="053ACFC2"/>
    <w:rsid w:val="06678F65"/>
    <w:rsid w:val="06BF7E91"/>
    <w:rsid w:val="06CD21A3"/>
    <w:rsid w:val="07604B5C"/>
    <w:rsid w:val="07A01E30"/>
    <w:rsid w:val="07B9A957"/>
    <w:rsid w:val="07EB7D5F"/>
    <w:rsid w:val="08583FC2"/>
    <w:rsid w:val="08877B08"/>
    <w:rsid w:val="08B1A914"/>
    <w:rsid w:val="08B86863"/>
    <w:rsid w:val="08E92A32"/>
    <w:rsid w:val="095F649F"/>
    <w:rsid w:val="0A0B3069"/>
    <w:rsid w:val="0A2F8906"/>
    <w:rsid w:val="0A405166"/>
    <w:rsid w:val="0A6C60AF"/>
    <w:rsid w:val="0B0A006F"/>
    <w:rsid w:val="0B207163"/>
    <w:rsid w:val="0B78FE5F"/>
    <w:rsid w:val="0BB41BB3"/>
    <w:rsid w:val="0BCCA5DC"/>
    <w:rsid w:val="0BEFEDC5"/>
    <w:rsid w:val="0C30F928"/>
    <w:rsid w:val="0C55E5A0"/>
    <w:rsid w:val="0C5B6C65"/>
    <w:rsid w:val="0CBB3973"/>
    <w:rsid w:val="0CE5C615"/>
    <w:rsid w:val="0D567AF6"/>
    <w:rsid w:val="0D96CCF9"/>
    <w:rsid w:val="0DDE6AA5"/>
    <w:rsid w:val="0E06BDEF"/>
    <w:rsid w:val="0E13B32C"/>
    <w:rsid w:val="0E1ECE68"/>
    <w:rsid w:val="0E296BE2"/>
    <w:rsid w:val="0EE3245A"/>
    <w:rsid w:val="0F0290C1"/>
    <w:rsid w:val="0F5CFA19"/>
    <w:rsid w:val="0FAB71B7"/>
    <w:rsid w:val="0FBADF32"/>
    <w:rsid w:val="0FEA5BC3"/>
    <w:rsid w:val="0FF04C8E"/>
    <w:rsid w:val="0FFBC1A1"/>
    <w:rsid w:val="102E70A3"/>
    <w:rsid w:val="102FF430"/>
    <w:rsid w:val="10332886"/>
    <w:rsid w:val="1036AC45"/>
    <w:rsid w:val="10457CF6"/>
    <w:rsid w:val="106361F9"/>
    <w:rsid w:val="10D2C9E7"/>
    <w:rsid w:val="10F0691E"/>
    <w:rsid w:val="10F37E50"/>
    <w:rsid w:val="1173BC0D"/>
    <w:rsid w:val="1197F997"/>
    <w:rsid w:val="11C18917"/>
    <w:rsid w:val="11D91BFF"/>
    <w:rsid w:val="11FA00DE"/>
    <w:rsid w:val="121024CE"/>
    <w:rsid w:val="121E4FBC"/>
    <w:rsid w:val="123F9764"/>
    <w:rsid w:val="129115A3"/>
    <w:rsid w:val="1358C192"/>
    <w:rsid w:val="1364E949"/>
    <w:rsid w:val="137324C2"/>
    <w:rsid w:val="1389C81B"/>
    <w:rsid w:val="13933A23"/>
    <w:rsid w:val="13D95F53"/>
    <w:rsid w:val="143662CD"/>
    <w:rsid w:val="1442BBB0"/>
    <w:rsid w:val="14700B3D"/>
    <w:rsid w:val="148DD24A"/>
    <w:rsid w:val="148F69AA"/>
    <w:rsid w:val="14C5B5AA"/>
    <w:rsid w:val="14D002F5"/>
    <w:rsid w:val="152C3907"/>
    <w:rsid w:val="157AF4B9"/>
    <w:rsid w:val="15D6B3C2"/>
    <w:rsid w:val="15F03263"/>
    <w:rsid w:val="16100431"/>
    <w:rsid w:val="16587405"/>
    <w:rsid w:val="166AF8D6"/>
    <w:rsid w:val="167E70F7"/>
    <w:rsid w:val="16905F3D"/>
    <w:rsid w:val="1694DFBC"/>
    <w:rsid w:val="16D55609"/>
    <w:rsid w:val="16DC90CA"/>
    <w:rsid w:val="16DFF278"/>
    <w:rsid w:val="173C5F5F"/>
    <w:rsid w:val="1762C28D"/>
    <w:rsid w:val="17B73A9D"/>
    <w:rsid w:val="18461DDF"/>
    <w:rsid w:val="18B1E94D"/>
    <w:rsid w:val="18C60540"/>
    <w:rsid w:val="18F2389E"/>
    <w:rsid w:val="19469B80"/>
    <w:rsid w:val="19489103"/>
    <w:rsid w:val="1960F0A9"/>
    <w:rsid w:val="19E1643F"/>
    <w:rsid w:val="19F18B95"/>
    <w:rsid w:val="1B191F4C"/>
    <w:rsid w:val="1B1B1338"/>
    <w:rsid w:val="1B477E1C"/>
    <w:rsid w:val="1BDB04E5"/>
    <w:rsid w:val="1BE866F6"/>
    <w:rsid w:val="1BF95500"/>
    <w:rsid w:val="1C601B3F"/>
    <w:rsid w:val="1C7DCDC1"/>
    <w:rsid w:val="1C86AD89"/>
    <w:rsid w:val="1CE2E6FC"/>
    <w:rsid w:val="1D167AA2"/>
    <w:rsid w:val="1D291A17"/>
    <w:rsid w:val="1D58DD60"/>
    <w:rsid w:val="1D707031"/>
    <w:rsid w:val="1D97F83B"/>
    <w:rsid w:val="1DC5B170"/>
    <w:rsid w:val="1DFFDD9C"/>
    <w:rsid w:val="1E4E9487"/>
    <w:rsid w:val="1EABA884"/>
    <w:rsid w:val="1EB1B4A0"/>
    <w:rsid w:val="1EBE140D"/>
    <w:rsid w:val="1EC1B79D"/>
    <w:rsid w:val="1ECD89D8"/>
    <w:rsid w:val="1F647F4F"/>
    <w:rsid w:val="1FBFA60E"/>
    <w:rsid w:val="1FEBCFC5"/>
    <w:rsid w:val="1FF080FE"/>
    <w:rsid w:val="20100D2E"/>
    <w:rsid w:val="20186711"/>
    <w:rsid w:val="20AA3718"/>
    <w:rsid w:val="20AE30BF"/>
    <w:rsid w:val="2156E97D"/>
    <w:rsid w:val="218FD42C"/>
    <w:rsid w:val="22091ACE"/>
    <w:rsid w:val="220C08B0"/>
    <w:rsid w:val="222FAFB0"/>
    <w:rsid w:val="22AF81CC"/>
    <w:rsid w:val="22F8C5EF"/>
    <w:rsid w:val="23767E0B"/>
    <w:rsid w:val="237912B1"/>
    <w:rsid w:val="24450DAA"/>
    <w:rsid w:val="24463188"/>
    <w:rsid w:val="24810CE6"/>
    <w:rsid w:val="257C35D9"/>
    <w:rsid w:val="25B630B6"/>
    <w:rsid w:val="25BF02D0"/>
    <w:rsid w:val="25F58C27"/>
    <w:rsid w:val="260F1DF8"/>
    <w:rsid w:val="2643D960"/>
    <w:rsid w:val="2694ED4A"/>
    <w:rsid w:val="26A4AFB1"/>
    <w:rsid w:val="26D08820"/>
    <w:rsid w:val="26E66243"/>
    <w:rsid w:val="272F81B6"/>
    <w:rsid w:val="274C2C2C"/>
    <w:rsid w:val="2760E6F2"/>
    <w:rsid w:val="27C5D980"/>
    <w:rsid w:val="281F4F7C"/>
    <w:rsid w:val="28419F99"/>
    <w:rsid w:val="284AC454"/>
    <w:rsid w:val="285CCA06"/>
    <w:rsid w:val="2891DB60"/>
    <w:rsid w:val="28B6F11C"/>
    <w:rsid w:val="28C34CB1"/>
    <w:rsid w:val="28DED38D"/>
    <w:rsid w:val="29157010"/>
    <w:rsid w:val="291FB694"/>
    <w:rsid w:val="29525C96"/>
    <w:rsid w:val="29982826"/>
    <w:rsid w:val="29E73042"/>
    <w:rsid w:val="2A877C42"/>
    <w:rsid w:val="2AA5AACA"/>
    <w:rsid w:val="2AA662FB"/>
    <w:rsid w:val="2AB34096"/>
    <w:rsid w:val="2AF8CFFC"/>
    <w:rsid w:val="2B2BB980"/>
    <w:rsid w:val="2B66EA69"/>
    <w:rsid w:val="2BF83A5F"/>
    <w:rsid w:val="2C314BE9"/>
    <w:rsid w:val="2C42E391"/>
    <w:rsid w:val="2CDF33E4"/>
    <w:rsid w:val="2D788227"/>
    <w:rsid w:val="2DB98146"/>
    <w:rsid w:val="2DD1673F"/>
    <w:rsid w:val="2DDD82FF"/>
    <w:rsid w:val="2E82BD72"/>
    <w:rsid w:val="2E963A36"/>
    <w:rsid w:val="2F4C90FB"/>
    <w:rsid w:val="2F580A5B"/>
    <w:rsid w:val="2F6BC9D1"/>
    <w:rsid w:val="2FD73FD8"/>
    <w:rsid w:val="2FF4FBB3"/>
    <w:rsid w:val="3006193F"/>
    <w:rsid w:val="30F73DAF"/>
    <w:rsid w:val="310C06D2"/>
    <w:rsid w:val="3116CFA9"/>
    <w:rsid w:val="313E53D4"/>
    <w:rsid w:val="316BA0C8"/>
    <w:rsid w:val="319E04EF"/>
    <w:rsid w:val="31B231C5"/>
    <w:rsid w:val="32047000"/>
    <w:rsid w:val="323FF94B"/>
    <w:rsid w:val="332CCD28"/>
    <w:rsid w:val="33573544"/>
    <w:rsid w:val="33889267"/>
    <w:rsid w:val="3390EC20"/>
    <w:rsid w:val="342A76CC"/>
    <w:rsid w:val="342ABB46"/>
    <w:rsid w:val="34975297"/>
    <w:rsid w:val="358A18B7"/>
    <w:rsid w:val="358C2A41"/>
    <w:rsid w:val="35AF8BF0"/>
    <w:rsid w:val="360AED97"/>
    <w:rsid w:val="36357B2E"/>
    <w:rsid w:val="3699BCF3"/>
    <w:rsid w:val="36B919A0"/>
    <w:rsid w:val="36F29107"/>
    <w:rsid w:val="36FB8011"/>
    <w:rsid w:val="371C69CE"/>
    <w:rsid w:val="37329D48"/>
    <w:rsid w:val="373D37A7"/>
    <w:rsid w:val="373F8DA9"/>
    <w:rsid w:val="37473395"/>
    <w:rsid w:val="379A35A0"/>
    <w:rsid w:val="38AB28FB"/>
    <w:rsid w:val="39A4685E"/>
    <w:rsid w:val="3A3CF5B6"/>
    <w:rsid w:val="3A54E65D"/>
    <w:rsid w:val="3A9709DA"/>
    <w:rsid w:val="3AC08BDC"/>
    <w:rsid w:val="3AE17E09"/>
    <w:rsid w:val="3B555628"/>
    <w:rsid w:val="3B6CCCA3"/>
    <w:rsid w:val="3B888125"/>
    <w:rsid w:val="3C287647"/>
    <w:rsid w:val="3C5E42B5"/>
    <w:rsid w:val="3C711371"/>
    <w:rsid w:val="3C90E6DB"/>
    <w:rsid w:val="3CE97925"/>
    <w:rsid w:val="3CEA78C2"/>
    <w:rsid w:val="3D3725FD"/>
    <w:rsid w:val="3D439A00"/>
    <w:rsid w:val="3D6E0147"/>
    <w:rsid w:val="3D9EE86D"/>
    <w:rsid w:val="3DA5C99C"/>
    <w:rsid w:val="3DB94833"/>
    <w:rsid w:val="3DEB5ED5"/>
    <w:rsid w:val="3DEFC6C3"/>
    <w:rsid w:val="3E8C80D1"/>
    <w:rsid w:val="3F1F58FB"/>
    <w:rsid w:val="3F64F6F3"/>
    <w:rsid w:val="3FE67CA5"/>
    <w:rsid w:val="4008022A"/>
    <w:rsid w:val="40385EA6"/>
    <w:rsid w:val="4053F0B2"/>
    <w:rsid w:val="408D3DF1"/>
    <w:rsid w:val="40C4CD50"/>
    <w:rsid w:val="40DCB9D0"/>
    <w:rsid w:val="416302F6"/>
    <w:rsid w:val="41938F2F"/>
    <w:rsid w:val="41B1DD1F"/>
    <w:rsid w:val="41D928BA"/>
    <w:rsid w:val="41E14EC3"/>
    <w:rsid w:val="423E3A19"/>
    <w:rsid w:val="4247A8FE"/>
    <w:rsid w:val="427CEEE5"/>
    <w:rsid w:val="42C5F26B"/>
    <w:rsid w:val="42F2857D"/>
    <w:rsid w:val="430232D9"/>
    <w:rsid w:val="43028F91"/>
    <w:rsid w:val="43056ED4"/>
    <w:rsid w:val="432A4057"/>
    <w:rsid w:val="4379CDC4"/>
    <w:rsid w:val="437B1C25"/>
    <w:rsid w:val="4384F2F8"/>
    <w:rsid w:val="43B13545"/>
    <w:rsid w:val="43CD874A"/>
    <w:rsid w:val="4457000D"/>
    <w:rsid w:val="448DFE53"/>
    <w:rsid w:val="44D83021"/>
    <w:rsid w:val="44E0AD2F"/>
    <w:rsid w:val="44F5E3E4"/>
    <w:rsid w:val="45070A9C"/>
    <w:rsid w:val="4527E480"/>
    <w:rsid w:val="455C2E0A"/>
    <w:rsid w:val="4583F749"/>
    <w:rsid w:val="45953B61"/>
    <w:rsid w:val="45DA5376"/>
    <w:rsid w:val="460D8338"/>
    <w:rsid w:val="466C2389"/>
    <w:rsid w:val="4681AE0F"/>
    <w:rsid w:val="469A67B2"/>
    <w:rsid w:val="46D7A06D"/>
    <w:rsid w:val="46E48453"/>
    <w:rsid w:val="476B1875"/>
    <w:rsid w:val="47D7B480"/>
    <w:rsid w:val="47E6562D"/>
    <w:rsid w:val="4811398D"/>
    <w:rsid w:val="483EA8F6"/>
    <w:rsid w:val="48631AC9"/>
    <w:rsid w:val="486EC4F8"/>
    <w:rsid w:val="48914F06"/>
    <w:rsid w:val="4902818B"/>
    <w:rsid w:val="493EC90A"/>
    <w:rsid w:val="4940C284"/>
    <w:rsid w:val="496C0E84"/>
    <w:rsid w:val="49A26F7A"/>
    <w:rsid w:val="4AAC3A5A"/>
    <w:rsid w:val="4AB9CAB0"/>
    <w:rsid w:val="4AFD3E57"/>
    <w:rsid w:val="4B539AD7"/>
    <w:rsid w:val="4B5A528A"/>
    <w:rsid w:val="4BA2E93C"/>
    <w:rsid w:val="4C8121E9"/>
    <w:rsid w:val="4D7729F2"/>
    <w:rsid w:val="4DD5A5E4"/>
    <w:rsid w:val="4DE17583"/>
    <w:rsid w:val="4DF6ADA0"/>
    <w:rsid w:val="4E1BDDD7"/>
    <w:rsid w:val="4E892C13"/>
    <w:rsid w:val="4E8F3208"/>
    <w:rsid w:val="4EA07672"/>
    <w:rsid w:val="4EE44E52"/>
    <w:rsid w:val="4F1B012A"/>
    <w:rsid w:val="4F35EAD8"/>
    <w:rsid w:val="4F5A3EB7"/>
    <w:rsid w:val="4F93BD1B"/>
    <w:rsid w:val="4F97EED4"/>
    <w:rsid w:val="4FCEE20A"/>
    <w:rsid w:val="5085103F"/>
    <w:rsid w:val="50C4B970"/>
    <w:rsid w:val="51097A19"/>
    <w:rsid w:val="510AF28B"/>
    <w:rsid w:val="5167582F"/>
    <w:rsid w:val="516E3812"/>
    <w:rsid w:val="5191DA2F"/>
    <w:rsid w:val="5219EFA1"/>
    <w:rsid w:val="5257F20E"/>
    <w:rsid w:val="529B3AFA"/>
    <w:rsid w:val="52B76AD9"/>
    <w:rsid w:val="52CB59FB"/>
    <w:rsid w:val="53165020"/>
    <w:rsid w:val="535D3A50"/>
    <w:rsid w:val="5396A552"/>
    <w:rsid w:val="53D59050"/>
    <w:rsid w:val="544E5D8F"/>
    <w:rsid w:val="545C3921"/>
    <w:rsid w:val="54901D30"/>
    <w:rsid w:val="54B3EDEA"/>
    <w:rsid w:val="54BC9A26"/>
    <w:rsid w:val="54D6C480"/>
    <w:rsid w:val="54D855C9"/>
    <w:rsid w:val="54F7278C"/>
    <w:rsid w:val="550017ED"/>
    <w:rsid w:val="55120A72"/>
    <w:rsid w:val="5512AAFF"/>
    <w:rsid w:val="55381EF8"/>
    <w:rsid w:val="55695083"/>
    <w:rsid w:val="5589120F"/>
    <w:rsid w:val="558C6688"/>
    <w:rsid w:val="55C47929"/>
    <w:rsid w:val="5606996D"/>
    <w:rsid w:val="5620F74E"/>
    <w:rsid w:val="563060F5"/>
    <w:rsid w:val="564B88EC"/>
    <w:rsid w:val="56AF99B1"/>
    <w:rsid w:val="56E1A95C"/>
    <w:rsid w:val="575421B5"/>
    <w:rsid w:val="57F8A522"/>
    <w:rsid w:val="57FC1DCE"/>
    <w:rsid w:val="5852B02C"/>
    <w:rsid w:val="58756328"/>
    <w:rsid w:val="58DF5675"/>
    <w:rsid w:val="593C89D0"/>
    <w:rsid w:val="59F65632"/>
    <w:rsid w:val="5A3B2B23"/>
    <w:rsid w:val="5ABC7F57"/>
    <w:rsid w:val="5B1A2AB1"/>
    <w:rsid w:val="5B3C32FD"/>
    <w:rsid w:val="5B7ED325"/>
    <w:rsid w:val="5B939732"/>
    <w:rsid w:val="5B9ECA7E"/>
    <w:rsid w:val="5BA542D8"/>
    <w:rsid w:val="5BA6267F"/>
    <w:rsid w:val="5BFC8F24"/>
    <w:rsid w:val="5C18AC77"/>
    <w:rsid w:val="5C2D15E3"/>
    <w:rsid w:val="5C38B58D"/>
    <w:rsid w:val="5C6F9F9F"/>
    <w:rsid w:val="5C89DC18"/>
    <w:rsid w:val="5D0AC6F6"/>
    <w:rsid w:val="5D2597F1"/>
    <w:rsid w:val="5D288165"/>
    <w:rsid w:val="5D5EC717"/>
    <w:rsid w:val="5DC26789"/>
    <w:rsid w:val="5E34FECE"/>
    <w:rsid w:val="5E3AF4F8"/>
    <w:rsid w:val="5E74AE87"/>
    <w:rsid w:val="5EBE96C5"/>
    <w:rsid w:val="5ECA1D85"/>
    <w:rsid w:val="5EF268E7"/>
    <w:rsid w:val="5F0C4D91"/>
    <w:rsid w:val="5F23C95E"/>
    <w:rsid w:val="5F2E0585"/>
    <w:rsid w:val="5F49996B"/>
    <w:rsid w:val="5F6008C6"/>
    <w:rsid w:val="5FAA5989"/>
    <w:rsid w:val="5FC9CDEE"/>
    <w:rsid w:val="5FE5C397"/>
    <w:rsid w:val="5FF75ED8"/>
    <w:rsid w:val="603AABDF"/>
    <w:rsid w:val="609F2379"/>
    <w:rsid w:val="609FF1A1"/>
    <w:rsid w:val="60A2A40A"/>
    <w:rsid w:val="60A6635B"/>
    <w:rsid w:val="60F7F64A"/>
    <w:rsid w:val="61FD2EB0"/>
    <w:rsid w:val="620090C9"/>
    <w:rsid w:val="6201C62A"/>
    <w:rsid w:val="62470CAC"/>
    <w:rsid w:val="62594FC5"/>
    <w:rsid w:val="627C76CC"/>
    <w:rsid w:val="631BBDA3"/>
    <w:rsid w:val="634D8516"/>
    <w:rsid w:val="63699D74"/>
    <w:rsid w:val="63E02A6B"/>
    <w:rsid w:val="63ECA0D9"/>
    <w:rsid w:val="6430DDE8"/>
    <w:rsid w:val="64454B9F"/>
    <w:rsid w:val="645CACA3"/>
    <w:rsid w:val="649B7D6B"/>
    <w:rsid w:val="64C8C8F1"/>
    <w:rsid w:val="651B4D7F"/>
    <w:rsid w:val="65291F92"/>
    <w:rsid w:val="652B10CD"/>
    <w:rsid w:val="65A0986A"/>
    <w:rsid w:val="65A0F590"/>
    <w:rsid w:val="661763D6"/>
    <w:rsid w:val="6636E025"/>
    <w:rsid w:val="6640CC80"/>
    <w:rsid w:val="66801949"/>
    <w:rsid w:val="6682975B"/>
    <w:rsid w:val="66C2E37E"/>
    <w:rsid w:val="66E5F84D"/>
    <w:rsid w:val="670EFB49"/>
    <w:rsid w:val="671282AD"/>
    <w:rsid w:val="671C0243"/>
    <w:rsid w:val="6739A28E"/>
    <w:rsid w:val="676F5329"/>
    <w:rsid w:val="6772648D"/>
    <w:rsid w:val="67C245F3"/>
    <w:rsid w:val="685410B4"/>
    <w:rsid w:val="68A1A26F"/>
    <w:rsid w:val="68BC6C52"/>
    <w:rsid w:val="68D34463"/>
    <w:rsid w:val="68EDE052"/>
    <w:rsid w:val="69386C05"/>
    <w:rsid w:val="69D8CE49"/>
    <w:rsid w:val="6A1DA716"/>
    <w:rsid w:val="6A27D741"/>
    <w:rsid w:val="6A29B7D2"/>
    <w:rsid w:val="6A4B84B0"/>
    <w:rsid w:val="6A71870D"/>
    <w:rsid w:val="6AFB16D5"/>
    <w:rsid w:val="6B2CC4B9"/>
    <w:rsid w:val="6B722DA5"/>
    <w:rsid w:val="6B7A11AD"/>
    <w:rsid w:val="6BA5D1F5"/>
    <w:rsid w:val="6BC5F434"/>
    <w:rsid w:val="6C53C936"/>
    <w:rsid w:val="6C560EF8"/>
    <w:rsid w:val="6C8EF93C"/>
    <w:rsid w:val="6CAE35D7"/>
    <w:rsid w:val="6CF0A4B5"/>
    <w:rsid w:val="6CF69B3C"/>
    <w:rsid w:val="6D0C2806"/>
    <w:rsid w:val="6D563836"/>
    <w:rsid w:val="6DC5CCD4"/>
    <w:rsid w:val="6DDD3FDA"/>
    <w:rsid w:val="6E024881"/>
    <w:rsid w:val="6E216749"/>
    <w:rsid w:val="6E4BB1A7"/>
    <w:rsid w:val="6E53B165"/>
    <w:rsid w:val="6E86EFB2"/>
    <w:rsid w:val="6EA03C45"/>
    <w:rsid w:val="6EEE00A3"/>
    <w:rsid w:val="6F1C8AD0"/>
    <w:rsid w:val="6F5F411E"/>
    <w:rsid w:val="6F60FB13"/>
    <w:rsid w:val="6F823835"/>
    <w:rsid w:val="6F929D2E"/>
    <w:rsid w:val="6FA6BE30"/>
    <w:rsid w:val="6FCDB927"/>
    <w:rsid w:val="6FF106A0"/>
    <w:rsid w:val="7020AE92"/>
    <w:rsid w:val="702D82E5"/>
    <w:rsid w:val="70E333C4"/>
    <w:rsid w:val="70E54229"/>
    <w:rsid w:val="70E72C4D"/>
    <w:rsid w:val="70F07250"/>
    <w:rsid w:val="70F143C5"/>
    <w:rsid w:val="71BE3408"/>
    <w:rsid w:val="72148B83"/>
    <w:rsid w:val="7233ECEA"/>
    <w:rsid w:val="734E908C"/>
    <w:rsid w:val="73A7693C"/>
    <w:rsid w:val="73EE4699"/>
    <w:rsid w:val="73F3A61B"/>
    <w:rsid w:val="73F89194"/>
    <w:rsid w:val="74229AF1"/>
    <w:rsid w:val="7537A50C"/>
    <w:rsid w:val="75BBF2E2"/>
    <w:rsid w:val="75C53617"/>
    <w:rsid w:val="75D48378"/>
    <w:rsid w:val="7632DE70"/>
    <w:rsid w:val="764659E0"/>
    <w:rsid w:val="76C3CD73"/>
    <w:rsid w:val="76EDF658"/>
    <w:rsid w:val="76FBB47E"/>
    <w:rsid w:val="7754A6E3"/>
    <w:rsid w:val="77901FAB"/>
    <w:rsid w:val="7837FD9C"/>
    <w:rsid w:val="78653DE5"/>
    <w:rsid w:val="789D89C4"/>
    <w:rsid w:val="78D0F1C0"/>
    <w:rsid w:val="79E5C971"/>
    <w:rsid w:val="7A036D99"/>
    <w:rsid w:val="7A08AE8D"/>
    <w:rsid w:val="7A0AE24E"/>
    <w:rsid w:val="7A123AB2"/>
    <w:rsid w:val="7A17AA02"/>
    <w:rsid w:val="7A974E51"/>
    <w:rsid w:val="7AA9EC70"/>
    <w:rsid w:val="7ABBB1B9"/>
    <w:rsid w:val="7ACEB746"/>
    <w:rsid w:val="7B7F282E"/>
    <w:rsid w:val="7BA2EA95"/>
    <w:rsid w:val="7CC21ED0"/>
    <w:rsid w:val="7D1D1417"/>
    <w:rsid w:val="7D73991C"/>
    <w:rsid w:val="7D8659F3"/>
    <w:rsid w:val="7E0F08B0"/>
    <w:rsid w:val="7E78C608"/>
    <w:rsid w:val="7ED5B049"/>
    <w:rsid w:val="7F141ABB"/>
    <w:rsid w:val="7F1A57A4"/>
    <w:rsid w:val="7F2B7F3A"/>
    <w:rsid w:val="7F2EDD2E"/>
    <w:rsid w:val="7F44D9AC"/>
    <w:rsid w:val="7F7221F4"/>
    <w:rsid w:val="7FB025C3"/>
    <w:rsid w:val="7FDBD8BB"/>
    <w:rsid w:val="7FDDA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52BA"/>
  <w15:chartTrackingRefBased/>
  <w15:docId w15:val="{3B4C6076-3212-4880-AEC9-697C0376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82"/>
  </w:style>
  <w:style w:type="paragraph" w:styleId="Footer">
    <w:name w:val="footer"/>
    <w:basedOn w:val="Normal"/>
    <w:link w:val="Foot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82"/>
  </w:style>
  <w:style w:type="paragraph" w:customStyle="1" w:styleId="paragraph">
    <w:name w:val="paragraph"/>
    <w:basedOn w:val="Normal"/>
    <w:rsid w:val="00C8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84382"/>
  </w:style>
  <w:style w:type="character" w:customStyle="1" w:styleId="eop">
    <w:name w:val="eop"/>
    <w:basedOn w:val="DefaultParagraphFont"/>
    <w:rsid w:val="00C8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kc-fs01\Accounts$\10.%20Major%20Projects%20(Managed%20by%20MM)\1.%20Main%20Summaries%20inc.%20OMPB\1%20Monthly%20Towns%20Financial%20Summary\Town%20Deal%20Finance%20Summary%20inc.%20Financial%20Risk%2031st%20March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/>
              <a:t>Riverfront</a:t>
            </a:r>
            <a:r>
              <a:rPr lang="en-GB" b="1" baseline="0"/>
              <a:t> </a:t>
            </a:r>
          </a:p>
          <a:p>
            <a:pPr algn="ctr">
              <a:defRPr/>
            </a:pPr>
            <a:r>
              <a:rPr lang="en-GB" b="1" baseline="0"/>
              <a:t>Ac</a:t>
            </a:r>
            <a:r>
              <a:rPr lang="en-GB" b="1"/>
              <a:t>tuals,</a:t>
            </a:r>
            <a:r>
              <a:rPr lang="en-GB" b="1" baseline="0"/>
              <a:t> Budget </a:t>
            </a:r>
            <a:r>
              <a:rPr lang="en-GB" b="1"/>
              <a:t>and Forecasted spend as</a:t>
            </a:r>
            <a:r>
              <a:rPr lang="en-GB" b="1" baseline="0"/>
              <a:t> </a:t>
            </a:r>
            <a:r>
              <a:rPr lang="en-GB" b="1"/>
              <a:t>at 31st March 2026</a:t>
            </a:r>
          </a:p>
        </c:rich>
      </c:tx>
      <c:layout>
        <c:manualLayout>
          <c:xMode val="edge"/>
          <c:yMode val="edge"/>
          <c:x val="0.18812101865645176"/>
          <c:y val="5.05961459671061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19427158843292328"/>
          <c:y val="0.17065770149517831"/>
          <c:w val="0.74891248945444322"/>
          <c:h val="0.597088885523924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'HR Graphs'!$L$20:$L$23</c:f>
              <c:strCache>
                <c:ptCount val="4"/>
                <c:pt idx="0">
                  <c:v>Forecast</c:v>
                </c:pt>
                <c:pt idx="1">
                  <c:v>Budget</c:v>
                </c:pt>
                <c:pt idx="2">
                  <c:v>Actuals</c:v>
                </c:pt>
                <c:pt idx="3">
                  <c:v>Client Contingency</c:v>
                </c:pt>
              </c:strCache>
            </c:strRef>
          </c:cat>
          <c:val>
            <c:numRef>
              <c:f>'HR Graphs'!$M$20:$M$23</c:f>
              <c:numCache>
                <c:formatCode>_-* #,##0_-;\-* #,##0_-;_-* "-"??_-;_-@_-</c:formatCode>
                <c:ptCount val="4"/>
                <c:pt idx="0">
                  <c:v>3230394</c:v>
                </c:pt>
                <c:pt idx="1">
                  <c:v>3230393.9999999995</c:v>
                </c:pt>
                <c:pt idx="2">
                  <c:v>1220845.56</c:v>
                </c:pt>
                <c:pt idx="3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A2-4900-B0BA-BE30B9D994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76411120"/>
        <c:axId val="2076412080"/>
      </c:barChart>
      <c:catAx>
        <c:axId val="2076411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412080"/>
        <c:crosses val="autoZero"/>
        <c:auto val="1"/>
        <c:lblAlgn val="ctr"/>
        <c:lblOffset val="100"/>
        <c:noMultiLvlLbl val="0"/>
      </c:catAx>
      <c:valAx>
        <c:axId val="2076412080"/>
        <c:scaling>
          <c:orientation val="minMax"/>
          <c:max val="34000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411120"/>
        <c:crosses val="autoZero"/>
        <c:crossBetween val="between"/>
        <c:minorUnit val="850000"/>
      </c:valAx>
      <c:dTable>
        <c:showHorzBorder val="1"/>
        <c:showVertBorder val="1"/>
        <c:showOutline val="1"/>
        <c:showKeys val="1"/>
        <c:spPr>
          <a:solidFill>
            <a:schemeClr val="bg1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8F811BCF644BBF1E9B14AFC5B6C0" ma:contentTypeVersion="18" ma:contentTypeDescription="Create a new document." ma:contentTypeScope="" ma:versionID="d505187b6d09a1e5060c54c6aac37931">
  <xsd:schema xmlns:xsd="http://www.w3.org/2001/XMLSchema" xmlns:xs="http://www.w3.org/2001/XMLSchema" xmlns:p="http://schemas.microsoft.com/office/2006/metadata/properties" xmlns:ns2="c94d463e-07bd-407d-9705-6e2080d9a95b" xmlns:ns3="2eef226d-2f57-46b8-bdb4-aac8ae459a59" targetNamespace="http://schemas.microsoft.com/office/2006/metadata/properties" ma:root="true" ma:fieldsID="f44f1b007a840f6490bfd622a2f2ba46" ns2:_="" ns3:_="">
    <xsd:import namespace="c94d463e-07bd-407d-9705-6e2080d9a95b"/>
    <xsd:import namespace="2eef226d-2f57-46b8-bdb4-aac8ae459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463e-07bd-407d-9705-6e2080d9a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fba433-d323-4469-9d85-cf386941f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226d-2f57-46b8-bdb4-aac8ae459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55d1b-eace-4d45-b398-67ec8df01937}" ma:internalName="TaxCatchAll" ma:showField="CatchAllData" ma:web="2eef226d-2f57-46b8-bdb4-aac8ae459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d463e-07bd-407d-9705-6e2080d9a95b">
      <Terms xmlns="http://schemas.microsoft.com/office/infopath/2007/PartnerControls"/>
    </lcf76f155ced4ddcb4097134ff3c332f>
    <TaxCatchAll xmlns="2eef226d-2f57-46b8-bdb4-aac8ae459a59" xsi:nil="true"/>
  </documentManagement>
</p:properties>
</file>

<file path=customXml/itemProps1.xml><?xml version="1.0" encoding="utf-8"?>
<ds:datastoreItem xmlns:ds="http://schemas.openxmlformats.org/officeDocument/2006/customXml" ds:itemID="{598C901A-ED96-4885-A21A-7B571C6E9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d463e-07bd-407d-9705-6e2080d9a95b"/>
    <ds:schemaRef ds:uri="2eef226d-2f57-46b8-bdb4-aac8ae459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E6606-863A-425B-BCAE-32C07377F9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96CC3-76DF-488A-AE70-465161E08A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62797-5D6C-4BB0-A937-46ED3A6A8B01}">
  <ds:schemaRefs>
    <ds:schemaRef ds:uri="http://schemas.microsoft.com/office/2006/metadata/properties"/>
    <ds:schemaRef ds:uri="http://schemas.microsoft.com/office/infopath/2007/PartnerControls"/>
    <ds:schemaRef ds:uri="c94d463e-07bd-407d-9705-6e2080d9a95b"/>
    <ds:schemaRef ds:uri="2eef226d-2f57-46b8-bdb4-aac8ae459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1820</Words>
  <Characters>10377</Characters>
  <Application>Microsoft Office Word</Application>
  <DocSecurity>0</DocSecurity>
  <Lines>86</Lines>
  <Paragraphs>24</Paragraphs>
  <ScaleCrop>false</ScaleCrop>
  <Company>BCKLWN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Eniola Adeshina</dc:creator>
  <cp:keywords/>
  <dc:description/>
  <cp:lastModifiedBy>Sarah Parker</cp:lastModifiedBy>
  <cp:revision>269</cp:revision>
  <dcterms:created xsi:type="dcterms:W3CDTF">2025-11-12T16:38:00Z</dcterms:created>
  <dcterms:modified xsi:type="dcterms:W3CDTF">2026-04-01T13:46:00Z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0x01010083508F811BCF644BBF1E9B14AFC5B6C0</vt:lpwstr>
  </property>
  <property fmtid="{D5CDD505-2E9C-101B-9397-08002B2CF9AE}" pid="3" name="MediaServiceImageTags">
    <vt:lpwstr/>
  </property>
</Properties>
</file>